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7114" w:rsidRPr="00DE228C" w:rsidRDefault="00807114" w:rsidP="00FE24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spacing w:line="360" w:lineRule="auto"/>
        <w:ind w:left="708" w:hanging="708"/>
        <w:jc w:val="both"/>
        <w:textAlignment w:val="auto"/>
        <w:rPr>
          <w:rFonts w:ascii="Xunta Sans" w:hAnsi="Xunta Sans"/>
          <w:sz w:val="22"/>
          <w:szCs w:val="22"/>
        </w:rPr>
      </w:pPr>
      <w:bookmarkStart w:id="0" w:name="_GoBack"/>
      <w:bookmarkEnd w:id="0"/>
      <w:r w:rsidRPr="00DE228C">
        <w:rPr>
          <w:rFonts w:ascii="Xunta Sans" w:eastAsia="Times New Roman" w:hAnsi="Xunta Sans" w:cs="ArialMT"/>
          <w:b/>
          <w:kern w:val="0"/>
          <w:sz w:val="22"/>
          <w:szCs w:val="22"/>
          <w:lang w:eastAsia="es-ES" w:bidi="ar-SA"/>
        </w:rPr>
        <w:t xml:space="preserve">ESCALA DE XESTIÓN DE SISTEMAS DE INFORMÁTICA (SUBGRUPO A2). DOG Núm. 244, de 22 de </w:t>
      </w:r>
      <w:proofErr w:type="spellStart"/>
      <w:r w:rsidRPr="00DE228C">
        <w:rPr>
          <w:rFonts w:ascii="Xunta Sans" w:eastAsia="Times New Roman" w:hAnsi="Xunta Sans" w:cs="ArialMT"/>
          <w:b/>
          <w:kern w:val="0"/>
          <w:sz w:val="22"/>
          <w:szCs w:val="22"/>
          <w:lang w:eastAsia="es-ES" w:bidi="ar-SA"/>
        </w:rPr>
        <w:t>novembro</w:t>
      </w:r>
      <w:proofErr w:type="spellEnd"/>
      <w:r w:rsidRPr="00DE228C">
        <w:rPr>
          <w:rFonts w:ascii="Xunta Sans" w:eastAsia="Times New Roman" w:hAnsi="Xunta Sans" w:cs="ArialMT"/>
          <w:b/>
          <w:kern w:val="0"/>
          <w:sz w:val="22"/>
          <w:szCs w:val="22"/>
          <w:lang w:eastAsia="es-ES" w:bidi="ar-SA"/>
        </w:rPr>
        <w:t xml:space="preserve"> de 2021.</w:t>
      </w:r>
    </w:p>
    <w:p w:rsidR="00807114" w:rsidRPr="00DE228C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jc w:val="both"/>
        <w:textAlignment w:val="auto"/>
        <w:rPr>
          <w:rFonts w:ascii="Xunta Sans" w:eastAsia="Times New Roman" w:hAnsi="Xunta Sans" w:cs="ArialMT"/>
          <w:b/>
          <w:kern w:val="0"/>
          <w:sz w:val="22"/>
          <w:szCs w:val="22"/>
          <w:lang w:eastAsia="es-ES" w:bidi="ar-SA"/>
        </w:rPr>
      </w:pPr>
    </w:p>
    <w:p w:rsidR="00807114" w:rsidRPr="00DE228C" w:rsidRDefault="00807114" w:rsidP="00807114">
      <w:pPr>
        <w:rPr>
          <w:rFonts w:ascii="Xunta Sans" w:hAnsi="Xunta Sans"/>
          <w:sz w:val="22"/>
          <w:szCs w:val="22"/>
        </w:rPr>
      </w:pPr>
    </w:p>
    <w:p w:rsidR="00807114" w:rsidRPr="00DE228C" w:rsidRDefault="00807114" w:rsidP="00807114">
      <w:pPr>
        <w:rPr>
          <w:rFonts w:ascii="Xunta Sans" w:hAnsi="Xunta Sans"/>
          <w:b/>
          <w:sz w:val="22"/>
          <w:szCs w:val="22"/>
        </w:rPr>
      </w:pPr>
    </w:p>
    <w:p w:rsidR="00807114" w:rsidRPr="00DE228C" w:rsidRDefault="00807114" w:rsidP="00807114">
      <w:pPr>
        <w:pStyle w:val="Pargrafodelist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auto"/>
        <w:rPr>
          <w:rFonts w:ascii="Xunta Sans" w:hAnsi="Xunta Sans"/>
          <w:b/>
          <w:sz w:val="22"/>
          <w:szCs w:val="22"/>
        </w:rPr>
      </w:pPr>
      <w:r w:rsidRPr="00DE228C">
        <w:rPr>
          <w:rFonts w:ascii="Xunta Sans" w:hAnsi="Xunta Sans"/>
          <w:b/>
          <w:sz w:val="22"/>
          <w:szCs w:val="22"/>
        </w:rPr>
        <w:t>Parte común.</w:t>
      </w: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1. A Constitución española de 1978: título preliminar, título I artigo 10, 14, 23, capítulo IV e capítulo V e título VIII. </w:t>
      </w: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2. O Estatuto de autonomía de Galicia. Título I, título II e título III da </w:t>
      </w:r>
      <w:proofErr w:type="spellStart"/>
      <w:r w:rsidRPr="00C75B89">
        <w:rPr>
          <w:rFonts w:ascii="Xunta Sans" w:hAnsi="Xunta Sans"/>
          <w:sz w:val="22"/>
          <w:szCs w:val="22"/>
        </w:rPr>
        <w:t>Lei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orgánica 1/1981, do 6 de abril, do Estatuto de autonomía para Galicia.</w:t>
      </w: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eastAsia="Times New Roman" w:hAnsi="Xunta Sans" w:cs="ArialMT"/>
          <w:kern w:val="0"/>
          <w:sz w:val="22"/>
          <w:szCs w:val="22"/>
          <w:lang w:eastAsia="es-ES" w:bidi="ar-SA"/>
        </w:rPr>
      </w:pP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3. </w:t>
      </w:r>
      <w:proofErr w:type="spellStart"/>
      <w:r w:rsidRPr="00C75B89">
        <w:rPr>
          <w:rFonts w:ascii="Xunta Sans" w:hAnsi="Xunta Sans"/>
          <w:sz w:val="22"/>
          <w:szCs w:val="22"/>
        </w:rPr>
        <w:t>Lei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39/2015, do 1 de </w:t>
      </w:r>
      <w:proofErr w:type="spellStart"/>
      <w:r w:rsidRPr="00C75B89">
        <w:rPr>
          <w:rFonts w:ascii="Xunta Sans" w:hAnsi="Xunta Sans"/>
          <w:sz w:val="22"/>
          <w:szCs w:val="22"/>
        </w:rPr>
        <w:t>outubro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, do </w:t>
      </w:r>
      <w:proofErr w:type="spellStart"/>
      <w:r w:rsidRPr="00C75B89">
        <w:rPr>
          <w:rFonts w:ascii="Xunta Sans" w:hAnsi="Xunta Sans"/>
          <w:sz w:val="22"/>
          <w:szCs w:val="22"/>
        </w:rPr>
        <w:t>procedemento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administrativo común das </w:t>
      </w:r>
      <w:proofErr w:type="spellStart"/>
      <w:r w:rsidRPr="00C75B89">
        <w:rPr>
          <w:rFonts w:ascii="Xunta Sans" w:hAnsi="Xunta Sans"/>
          <w:sz w:val="22"/>
          <w:szCs w:val="22"/>
        </w:rPr>
        <w:t>administracións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públicas: título III, título IV capítulo I e capítulo IV e o título V. </w:t>
      </w: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4. </w:t>
      </w:r>
      <w:proofErr w:type="spellStart"/>
      <w:r w:rsidRPr="00C75B89">
        <w:rPr>
          <w:rFonts w:ascii="Xunta Sans" w:hAnsi="Xunta Sans"/>
          <w:sz w:val="22"/>
          <w:szCs w:val="22"/>
        </w:rPr>
        <w:t>Lei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4/2019, do 17 de </w:t>
      </w:r>
      <w:proofErr w:type="spellStart"/>
      <w:r w:rsidRPr="00C75B89">
        <w:rPr>
          <w:rFonts w:ascii="Xunta Sans" w:hAnsi="Xunta Sans"/>
          <w:sz w:val="22"/>
          <w:szCs w:val="22"/>
        </w:rPr>
        <w:t>xullo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, da administración </w:t>
      </w:r>
      <w:proofErr w:type="spellStart"/>
      <w:r w:rsidRPr="00C75B89">
        <w:rPr>
          <w:rFonts w:ascii="Xunta Sans" w:hAnsi="Xunta Sans"/>
          <w:sz w:val="22"/>
          <w:szCs w:val="22"/>
        </w:rPr>
        <w:t>dixital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Galicia, título preliminar, título I, capítulo I.</w:t>
      </w: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5. </w:t>
      </w:r>
      <w:proofErr w:type="spellStart"/>
      <w:r w:rsidRPr="00C75B89">
        <w:rPr>
          <w:rFonts w:ascii="Xunta Sans" w:hAnsi="Xunta Sans"/>
          <w:sz w:val="22"/>
          <w:szCs w:val="22"/>
        </w:rPr>
        <w:t>Lei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40/2015, do 1 de </w:t>
      </w:r>
      <w:proofErr w:type="spellStart"/>
      <w:r w:rsidRPr="00C75B89">
        <w:rPr>
          <w:rFonts w:ascii="Xunta Sans" w:hAnsi="Xunta Sans"/>
          <w:sz w:val="22"/>
          <w:szCs w:val="22"/>
        </w:rPr>
        <w:t>outubro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, de </w:t>
      </w:r>
      <w:proofErr w:type="spellStart"/>
      <w:r w:rsidRPr="00C75B89">
        <w:rPr>
          <w:rFonts w:ascii="Xunta Sans" w:hAnsi="Xunta Sans"/>
          <w:sz w:val="22"/>
          <w:szCs w:val="22"/>
        </w:rPr>
        <w:t>réxime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xurídico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do sector público, título preliminar, capítulos III e IV. </w:t>
      </w: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6. </w:t>
      </w:r>
      <w:proofErr w:type="spellStart"/>
      <w:r w:rsidRPr="00C75B89">
        <w:rPr>
          <w:rFonts w:ascii="Xunta Sans" w:hAnsi="Xunta Sans"/>
          <w:sz w:val="22"/>
          <w:szCs w:val="22"/>
        </w:rPr>
        <w:t>Lei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16/2010, do 17 de </w:t>
      </w:r>
      <w:proofErr w:type="spellStart"/>
      <w:r w:rsidRPr="00C75B89">
        <w:rPr>
          <w:rFonts w:ascii="Xunta Sans" w:hAnsi="Xunta Sans"/>
          <w:sz w:val="22"/>
          <w:szCs w:val="22"/>
        </w:rPr>
        <w:t>decembro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, de organización e </w:t>
      </w:r>
      <w:proofErr w:type="spellStart"/>
      <w:r w:rsidRPr="00C75B89">
        <w:rPr>
          <w:rFonts w:ascii="Xunta Sans" w:hAnsi="Xunta Sans"/>
          <w:sz w:val="22"/>
          <w:szCs w:val="22"/>
        </w:rPr>
        <w:t>funcionamento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da Administración </w:t>
      </w:r>
      <w:proofErr w:type="spellStart"/>
      <w:r w:rsidRPr="00C75B89">
        <w:rPr>
          <w:rFonts w:ascii="Xunta Sans" w:hAnsi="Xunta Sans"/>
          <w:sz w:val="22"/>
          <w:szCs w:val="22"/>
        </w:rPr>
        <w:t>xeral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 do sector público autonómico: título preliminar, título I. </w:t>
      </w: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7. </w:t>
      </w:r>
      <w:proofErr w:type="spellStart"/>
      <w:r w:rsidRPr="00C75B89">
        <w:rPr>
          <w:rFonts w:ascii="Xunta Sans" w:hAnsi="Xunta Sans"/>
          <w:sz w:val="22"/>
          <w:szCs w:val="22"/>
        </w:rPr>
        <w:t>Lei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2/2015, do 29 de abril, do </w:t>
      </w:r>
      <w:proofErr w:type="spellStart"/>
      <w:r w:rsidRPr="00C75B89">
        <w:rPr>
          <w:rFonts w:ascii="Xunta Sans" w:hAnsi="Xunta Sans"/>
          <w:sz w:val="22"/>
          <w:szCs w:val="22"/>
        </w:rPr>
        <w:t>emprego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público de Galicia: título III, título VI capítulos III e IV e título VIII. </w:t>
      </w: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8. </w:t>
      </w:r>
      <w:proofErr w:type="spellStart"/>
      <w:r w:rsidRPr="00C75B89">
        <w:rPr>
          <w:rFonts w:ascii="Xunta Sans" w:hAnsi="Xunta Sans"/>
          <w:sz w:val="22"/>
          <w:szCs w:val="22"/>
        </w:rPr>
        <w:t>Lei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orgánica 3/2018, do 5 de </w:t>
      </w:r>
      <w:proofErr w:type="spellStart"/>
      <w:r w:rsidRPr="00C75B89">
        <w:rPr>
          <w:rFonts w:ascii="Xunta Sans" w:hAnsi="Xunta Sans"/>
          <w:sz w:val="22"/>
          <w:szCs w:val="22"/>
        </w:rPr>
        <w:t>decembro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, de protección de datos </w:t>
      </w:r>
      <w:proofErr w:type="spellStart"/>
      <w:r w:rsidRPr="00C75B89">
        <w:rPr>
          <w:rFonts w:ascii="Xunta Sans" w:hAnsi="Xunta Sans"/>
          <w:sz w:val="22"/>
          <w:szCs w:val="22"/>
        </w:rPr>
        <w:t>persoais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 garantía dos </w:t>
      </w:r>
      <w:proofErr w:type="spellStart"/>
      <w:r w:rsidRPr="00C75B89">
        <w:rPr>
          <w:rFonts w:ascii="Xunta Sans" w:hAnsi="Xunta Sans"/>
          <w:sz w:val="22"/>
          <w:szCs w:val="22"/>
        </w:rPr>
        <w:t>dereitos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dixitais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: título I, título II, título III e título VIII. </w:t>
      </w: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9. Decreto </w:t>
      </w:r>
      <w:proofErr w:type="spellStart"/>
      <w:r w:rsidRPr="00C75B89">
        <w:rPr>
          <w:rFonts w:ascii="Xunta Sans" w:hAnsi="Xunta Sans"/>
          <w:sz w:val="22"/>
          <w:szCs w:val="22"/>
        </w:rPr>
        <w:t>lexislativo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2/2015, do 12 de </w:t>
      </w:r>
      <w:proofErr w:type="spellStart"/>
      <w:r w:rsidRPr="00C75B89">
        <w:rPr>
          <w:rFonts w:ascii="Xunta Sans" w:hAnsi="Xunta Sans"/>
          <w:sz w:val="22"/>
          <w:szCs w:val="22"/>
        </w:rPr>
        <w:t>febreiro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, polo que se </w:t>
      </w:r>
      <w:proofErr w:type="spellStart"/>
      <w:r w:rsidRPr="00C75B89">
        <w:rPr>
          <w:rFonts w:ascii="Xunta Sans" w:hAnsi="Xunta Sans"/>
          <w:sz w:val="22"/>
          <w:szCs w:val="22"/>
        </w:rPr>
        <w:t>aproba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o texto refundido das </w:t>
      </w:r>
      <w:proofErr w:type="spellStart"/>
      <w:r w:rsidRPr="00C75B89">
        <w:rPr>
          <w:rFonts w:ascii="Xunta Sans" w:hAnsi="Xunta Sans"/>
          <w:sz w:val="22"/>
          <w:szCs w:val="22"/>
        </w:rPr>
        <w:t>disposicións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legais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da </w:t>
      </w:r>
      <w:proofErr w:type="spellStart"/>
      <w:r w:rsidRPr="00C75B89">
        <w:rPr>
          <w:rFonts w:ascii="Xunta Sans" w:hAnsi="Xunta Sans"/>
          <w:sz w:val="22"/>
          <w:szCs w:val="22"/>
        </w:rPr>
        <w:t>Comunidade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Autónoma de Galicia en materia de </w:t>
      </w:r>
      <w:proofErr w:type="spellStart"/>
      <w:r w:rsidRPr="00C75B89">
        <w:rPr>
          <w:rFonts w:ascii="Xunta Sans" w:hAnsi="Xunta Sans"/>
          <w:sz w:val="22"/>
          <w:szCs w:val="22"/>
        </w:rPr>
        <w:t>igualdade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: título preliminar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título I. E o título I da </w:t>
      </w:r>
      <w:proofErr w:type="spellStart"/>
      <w:r w:rsidRPr="00C75B89">
        <w:rPr>
          <w:rFonts w:ascii="Xunta Sans" w:hAnsi="Xunta Sans"/>
          <w:sz w:val="22"/>
          <w:szCs w:val="22"/>
        </w:rPr>
        <w:t>Lei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orgánica 1/2004, do 28 de </w:t>
      </w:r>
      <w:proofErr w:type="spellStart"/>
      <w:r w:rsidRPr="00C75B89">
        <w:rPr>
          <w:rFonts w:ascii="Xunta Sans" w:hAnsi="Xunta Sans"/>
          <w:sz w:val="22"/>
          <w:szCs w:val="22"/>
        </w:rPr>
        <w:t>decembro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, de medidas de protección integral contra </w:t>
      </w:r>
      <w:proofErr w:type="spellStart"/>
      <w:r w:rsidRPr="00C75B89">
        <w:rPr>
          <w:rFonts w:ascii="Xunta Sans" w:hAnsi="Xunta Sans"/>
          <w:sz w:val="22"/>
          <w:szCs w:val="22"/>
        </w:rPr>
        <w:t>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violencia de </w:t>
      </w:r>
      <w:proofErr w:type="spellStart"/>
      <w:r w:rsidRPr="00C75B89">
        <w:rPr>
          <w:rFonts w:ascii="Xunta Sans" w:hAnsi="Xunta Sans"/>
          <w:sz w:val="22"/>
          <w:szCs w:val="22"/>
        </w:rPr>
        <w:t>xénero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</w:t>
      </w: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lastRenderedPageBreak/>
        <w:t xml:space="preserve">10. Real decreto </w:t>
      </w:r>
      <w:proofErr w:type="spellStart"/>
      <w:r w:rsidRPr="00C75B89">
        <w:rPr>
          <w:rFonts w:ascii="Xunta Sans" w:hAnsi="Xunta Sans"/>
          <w:sz w:val="22"/>
          <w:szCs w:val="22"/>
        </w:rPr>
        <w:t>lexislativo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1/2013, do 29 de </w:t>
      </w:r>
      <w:proofErr w:type="spellStart"/>
      <w:r w:rsidRPr="00C75B89">
        <w:rPr>
          <w:rFonts w:ascii="Xunta Sans" w:hAnsi="Xunta Sans"/>
          <w:sz w:val="22"/>
          <w:szCs w:val="22"/>
        </w:rPr>
        <w:t>novembro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, polo que se </w:t>
      </w:r>
      <w:proofErr w:type="spellStart"/>
      <w:r w:rsidRPr="00C75B89">
        <w:rPr>
          <w:rFonts w:ascii="Xunta Sans" w:hAnsi="Xunta Sans"/>
          <w:sz w:val="22"/>
          <w:szCs w:val="22"/>
        </w:rPr>
        <w:t>aproba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o texto refundido da </w:t>
      </w:r>
      <w:proofErr w:type="spellStart"/>
      <w:r w:rsidRPr="00C75B89">
        <w:rPr>
          <w:rFonts w:ascii="Xunta Sans" w:hAnsi="Xunta Sans"/>
          <w:sz w:val="22"/>
          <w:szCs w:val="22"/>
        </w:rPr>
        <w:t>Lei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xeral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</w:t>
      </w:r>
      <w:proofErr w:type="spellStart"/>
      <w:r w:rsidRPr="00C75B89">
        <w:rPr>
          <w:rFonts w:ascii="Xunta Sans" w:hAnsi="Xunta Sans"/>
          <w:sz w:val="22"/>
          <w:szCs w:val="22"/>
        </w:rPr>
        <w:t>dereitos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das </w:t>
      </w:r>
      <w:proofErr w:type="spellStart"/>
      <w:r w:rsidRPr="00C75B89">
        <w:rPr>
          <w:rFonts w:ascii="Xunta Sans" w:hAnsi="Xunta Sans"/>
          <w:sz w:val="22"/>
          <w:szCs w:val="22"/>
        </w:rPr>
        <w:t>persoas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con </w:t>
      </w:r>
      <w:proofErr w:type="spellStart"/>
      <w:r w:rsidRPr="00C75B89">
        <w:rPr>
          <w:rFonts w:ascii="Xunta Sans" w:hAnsi="Xunta Sans"/>
          <w:sz w:val="22"/>
          <w:szCs w:val="22"/>
        </w:rPr>
        <w:t>discapacidade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 da </w:t>
      </w:r>
      <w:proofErr w:type="spellStart"/>
      <w:r w:rsidRPr="00C75B89">
        <w:rPr>
          <w:rFonts w:ascii="Xunta Sans" w:hAnsi="Xunta Sans"/>
          <w:sz w:val="22"/>
          <w:szCs w:val="22"/>
        </w:rPr>
        <w:t>súa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inclusión social: título preliminar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título I. </w:t>
      </w: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11. </w:t>
      </w:r>
      <w:proofErr w:type="spellStart"/>
      <w:r w:rsidRPr="00C75B89">
        <w:rPr>
          <w:rFonts w:ascii="Xunta Sans" w:hAnsi="Xunta Sans"/>
          <w:sz w:val="22"/>
          <w:szCs w:val="22"/>
        </w:rPr>
        <w:t>Lei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1/2016, do 18 de </w:t>
      </w:r>
      <w:proofErr w:type="spellStart"/>
      <w:r w:rsidRPr="00C75B89">
        <w:rPr>
          <w:rFonts w:ascii="Xunta Sans" w:hAnsi="Xunta Sans"/>
          <w:sz w:val="22"/>
          <w:szCs w:val="22"/>
        </w:rPr>
        <w:t>xaneiro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, de transparencia e </w:t>
      </w:r>
      <w:proofErr w:type="spellStart"/>
      <w:r w:rsidRPr="00C75B89">
        <w:rPr>
          <w:rFonts w:ascii="Xunta Sans" w:hAnsi="Xunta Sans"/>
          <w:sz w:val="22"/>
          <w:szCs w:val="22"/>
        </w:rPr>
        <w:t>bo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goberno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: título preliminar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título I. </w:t>
      </w:r>
    </w:p>
    <w:p w:rsidR="00807114" w:rsidRPr="00DE228C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b/>
          <w:sz w:val="22"/>
          <w:szCs w:val="22"/>
        </w:rPr>
      </w:pPr>
    </w:p>
    <w:p w:rsidR="00807114" w:rsidRPr="00DE228C" w:rsidRDefault="00807114" w:rsidP="00807114">
      <w:pPr>
        <w:pStyle w:val="Pargrafodelist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auto"/>
        <w:rPr>
          <w:rFonts w:ascii="Xunta Sans" w:hAnsi="Xunta Sans"/>
          <w:sz w:val="22"/>
          <w:szCs w:val="22"/>
        </w:rPr>
      </w:pPr>
      <w:r w:rsidRPr="00DE228C">
        <w:rPr>
          <w:rFonts w:ascii="Xunta Sans" w:hAnsi="Xunta Sans"/>
          <w:b/>
          <w:sz w:val="22"/>
          <w:szCs w:val="22"/>
        </w:rPr>
        <w:t>Parte específica.</w:t>
      </w:r>
      <w:r w:rsidRPr="00DE228C">
        <w:rPr>
          <w:rFonts w:ascii="Xunta Sans" w:hAnsi="Xunta Sans"/>
          <w:sz w:val="22"/>
          <w:szCs w:val="22"/>
        </w:rPr>
        <w:t xml:space="preserve"> </w:t>
      </w:r>
    </w:p>
    <w:p w:rsidR="00807114" w:rsidRPr="00CE308C" w:rsidRDefault="00807114" w:rsidP="00807114">
      <w:pPr>
        <w:pStyle w:val="Pargrafodelist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12. Dirección e </w:t>
      </w:r>
      <w:proofErr w:type="spellStart"/>
      <w:r w:rsidRPr="00C75B89">
        <w:rPr>
          <w:rFonts w:ascii="Xunta Sans" w:hAnsi="Xunta Sans"/>
          <w:sz w:val="22"/>
          <w:szCs w:val="22"/>
        </w:rPr>
        <w:t>xestión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</w:t>
      </w:r>
      <w:proofErr w:type="spellStart"/>
      <w:r w:rsidRPr="00C75B89">
        <w:rPr>
          <w:rFonts w:ascii="Xunta Sans" w:hAnsi="Xunta Sans"/>
          <w:sz w:val="22"/>
          <w:szCs w:val="22"/>
        </w:rPr>
        <w:t>proxectos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</w:t>
      </w:r>
      <w:proofErr w:type="spellStart"/>
      <w:r w:rsidRPr="00C75B89">
        <w:rPr>
          <w:rFonts w:ascii="Xunta Sans" w:hAnsi="Xunta Sans"/>
          <w:sz w:val="22"/>
          <w:szCs w:val="22"/>
        </w:rPr>
        <w:t>Xestión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da integración. O plan </w:t>
      </w:r>
      <w:proofErr w:type="spellStart"/>
      <w:r w:rsidRPr="00C75B89">
        <w:rPr>
          <w:rFonts w:ascii="Xunta Sans" w:hAnsi="Xunta Sans"/>
          <w:sz w:val="22"/>
          <w:szCs w:val="22"/>
        </w:rPr>
        <w:t>xeral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do </w:t>
      </w:r>
      <w:proofErr w:type="spellStart"/>
      <w:r w:rsidRPr="00C75B89">
        <w:rPr>
          <w:rFonts w:ascii="Xunta Sans" w:hAnsi="Xunta Sans"/>
          <w:sz w:val="22"/>
          <w:szCs w:val="22"/>
        </w:rPr>
        <w:t>proxecto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</w:t>
      </w:r>
      <w:proofErr w:type="spellStart"/>
      <w:r w:rsidRPr="00C75B89">
        <w:rPr>
          <w:rFonts w:ascii="Xunta Sans" w:hAnsi="Xunta Sans"/>
          <w:sz w:val="22"/>
          <w:szCs w:val="22"/>
        </w:rPr>
        <w:t>Xestión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do alcance. </w:t>
      </w:r>
      <w:proofErr w:type="spellStart"/>
      <w:r w:rsidRPr="00C75B89">
        <w:rPr>
          <w:rFonts w:ascii="Xunta Sans" w:hAnsi="Xunta Sans"/>
          <w:sz w:val="22"/>
          <w:szCs w:val="22"/>
        </w:rPr>
        <w:t>Xestión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do </w:t>
      </w:r>
      <w:proofErr w:type="spellStart"/>
      <w:r w:rsidRPr="00C75B89">
        <w:rPr>
          <w:rFonts w:ascii="Xunta Sans" w:hAnsi="Xunta Sans"/>
          <w:sz w:val="22"/>
          <w:szCs w:val="22"/>
        </w:rPr>
        <w:t>custo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</w:t>
      </w:r>
      <w:proofErr w:type="spellStart"/>
      <w:r w:rsidRPr="00C75B89">
        <w:rPr>
          <w:rFonts w:ascii="Xunta Sans" w:hAnsi="Xunta Sans"/>
          <w:sz w:val="22"/>
          <w:szCs w:val="22"/>
        </w:rPr>
        <w:t>Orzamentos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</w:t>
      </w:r>
      <w:proofErr w:type="spellStart"/>
      <w:r w:rsidRPr="00C75B89">
        <w:rPr>
          <w:rFonts w:ascii="Xunta Sans" w:hAnsi="Xunta Sans"/>
          <w:sz w:val="22"/>
          <w:szCs w:val="22"/>
        </w:rPr>
        <w:t>Xestión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do tempo. Técnicas de planificación. </w:t>
      </w:r>
      <w:proofErr w:type="spellStart"/>
      <w:r w:rsidRPr="00C75B89">
        <w:rPr>
          <w:rFonts w:ascii="Xunta Sans" w:hAnsi="Xunta Sans"/>
          <w:sz w:val="22"/>
          <w:szCs w:val="22"/>
        </w:rPr>
        <w:t>Xestión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da </w:t>
      </w:r>
      <w:proofErr w:type="spellStart"/>
      <w:r w:rsidRPr="00C75B89">
        <w:rPr>
          <w:rFonts w:ascii="Xunta Sans" w:hAnsi="Xunta Sans"/>
          <w:sz w:val="22"/>
          <w:szCs w:val="22"/>
        </w:rPr>
        <w:t>calidade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Plan de </w:t>
      </w:r>
      <w:proofErr w:type="spellStart"/>
      <w:r w:rsidRPr="00C75B89">
        <w:rPr>
          <w:rFonts w:ascii="Xunta Sans" w:hAnsi="Xunta Sans"/>
          <w:sz w:val="22"/>
          <w:szCs w:val="22"/>
        </w:rPr>
        <w:t>calidade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Capacidades do </w:t>
      </w:r>
      <w:proofErr w:type="spellStart"/>
      <w:r w:rsidRPr="00C75B89">
        <w:rPr>
          <w:rFonts w:ascii="Xunta Sans" w:hAnsi="Xunta Sans"/>
          <w:sz w:val="22"/>
          <w:szCs w:val="22"/>
        </w:rPr>
        <w:t>xefe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</w:t>
      </w:r>
      <w:proofErr w:type="spellStart"/>
      <w:r w:rsidRPr="00C75B89">
        <w:rPr>
          <w:rFonts w:ascii="Xunta Sans" w:hAnsi="Xunta Sans"/>
          <w:sz w:val="22"/>
          <w:szCs w:val="22"/>
        </w:rPr>
        <w:t>proxecto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</w:t>
      </w:r>
      <w:proofErr w:type="spellStart"/>
      <w:r w:rsidRPr="00C75B89">
        <w:rPr>
          <w:rFonts w:ascii="Xunta Sans" w:hAnsi="Xunta Sans"/>
          <w:sz w:val="22"/>
          <w:szCs w:val="22"/>
        </w:rPr>
        <w:t>Xestión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das </w:t>
      </w:r>
      <w:proofErr w:type="spellStart"/>
      <w:r w:rsidRPr="00C75B89">
        <w:rPr>
          <w:rFonts w:ascii="Xunta Sans" w:hAnsi="Xunta Sans"/>
          <w:sz w:val="22"/>
          <w:szCs w:val="22"/>
        </w:rPr>
        <w:t>comunicacións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</w:t>
      </w:r>
      <w:proofErr w:type="spellStart"/>
      <w:r w:rsidRPr="00C75B89">
        <w:rPr>
          <w:rFonts w:ascii="Xunta Sans" w:hAnsi="Xunta Sans"/>
          <w:sz w:val="22"/>
          <w:szCs w:val="22"/>
        </w:rPr>
        <w:t>Xestión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do risco. </w:t>
      </w:r>
      <w:proofErr w:type="spellStart"/>
      <w:r w:rsidRPr="00C75B89">
        <w:rPr>
          <w:rFonts w:ascii="Xunta Sans" w:hAnsi="Xunta Sans"/>
          <w:sz w:val="22"/>
          <w:szCs w:val="22"/>
        </w:rPr>
        <w:t>Continxencias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</w:t>
      </w:r>
      <w:proofErr w:type="spellStart"/>
      <w:r w:rsidRPr="00C75B89">
        <w:rPr>
          <w:rFonts w:ascii="Xunta Sans" w:hAnsi="Xunta Sans"/>
          <w:sz w:val="22"/>
          <w:szCs w:val="22"/>
        </w:rPr>
        <w:t>Xestión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da subcontratación e </w:t>
      </w:r>
      <w:proofErr w:type="spellStart"/>
      <w:r w:rsidRPr="00C75B89">
        <w:rPr>
          <w:rFonts w:ascii="Xunta Sans" w:hAnsi="Xunta Sans"/>
          <w:sz w:val="22"/>
          <w:szCs w:val="22"/>
        </w:rPr>
        <w:t>adquisicións</w:t>
      </w:r>
      <w:proofErr w:type="spellEnd"/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eastAsia="Times New Roman" w:hAnsi="Xunta Sans" w:cs="ArialMT"/>
          <w:kern w:val="0"/>
          <w:sz w:val="22"/>
          <w:szCs w:val="22"/>
          <w:lang w:eastAsia="es-ES" w:bidi="ar-SA"/>
        </w:rPr>
      </w:pP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13. Sistemas de </w:t>
      </w:r>
      <w:proofErr w:type="spellStart"/>
      <w:r w:rsidRPr="00C75B89">
        <w:rPr>
          <w:rFonts w:ascii="Xunta Sans" w:hAnsi="Xunta Sans"/>
          <w:sz w:val="22"/>
          <w:szCs w:val="22"/>
        </w:rPr>
        <w:t>xestión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</w:t>
      </w:r>
      <w:proofErr w:type="spellStart"/>
      <w:r w:rsidRPr="00C75B89">
        <w:rPr>
          <w:rFonts w:ascii="Xunta Sans" w:hAnsi="Xunta Sans"/>
          <w:sz w:val="22"/>
          <w:szCs w:val="22"/>
        </w:rPr>
        <w:t>calidade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Normalización </w:t>
      </w:r>
      <w:proofErr w:type="spellStart"/>
      <w:r w:rsidRPr="00C75B89">
        <w:rPr>
          <w:rFonts w:ascii="Xunta Sans" w:hAnsi="Xunta Sans"/>
          <w:sz w:val="22"/>
          <w:szCs w:val="22"/>
        </w:rPr>
        <w:t>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certificación. EFQM. Serie ISO 9000. CMMI. </w:t>
      </w: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14. A biblioteca de </w:t>
      </w:r>
      <w:proofErr w:type="spellStart"/>
      <w:r w:rsidRPr="00C75B89">
        <w:rPr>
          <w:rFonts w:ascii="Xunta Sans" w:hAnsi="Xunta Sans"/>
          <w:sz w:val="22"/>
          <w:szCs w:val="22"/>
        </w:rPr>
        <w:t>infraestrutura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TI (ITIL). Soporte </w:t>
      </w:r>
      <w:proofErr w:type="spellStart"/>
      <w:r w:rsidRPr="00C75B89">
        <w:rPr>
          <w:rFonts w:ascii="Xunta Sans" w:hAnsi="Xunta Sans"/>
          <w:sz w:val="22"/>
          <w:szCs w:val="22"/>
        </w:rPr>
        <w:t>ao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servizo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Entrega de </w:t>
      </w:r>
      <w:proofErr w:type="spellStart"/>
      <w:r w:rsidRPr="00C75B89">
        <w:rPr>
          <w:rFonts w:ascii="Xunta Sans" w:hAnsi="Xunta Sans"/>
          <w:sz w:val="22"/>
          <w:szCs w:val="22"/>
        </w:rPr>
        <w:t>servizos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ISO/IEC 20000-1:2018, ISO/IEC 20000-2:2019. </w:t>
      </w:r>
      <w:proofErr w:type="spellStart"/>
      <w:r w:rsidRPr="00C75B89">
        <w:rPr>
          <w:rFonts w:ascii="Xunta Sans" w:hAnsi="Xunta Sans"/>
          <w:sz w:val="22"/>
          <w:szCs w:val="22"/>
        </w:rPr>
        <w:t>Obxectivos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da norma. Mapa e </w:t>
      </w:r>
      <w:proofErr w:type="spellStart"/>
      <w:r w:rsidRPr="00C75B89">
        <w:rPr>
          <w:rFonts w:ascii="Xunta Sans" w:hAnsi="Xunta Sans"/>
          <w:sz w:val="22"/>
          <w:szCs w:val="22"/>
        </w:rPr>
        <w:t>descrición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dos procesos. Aspectos </w:t>
      </w:r>
      <w:proofErr w:type="spellStart"/>
      <w:r w:rsidRPr="00C75B89">
        <w:rPr>
          <w:rFonts w:ascii="Xunta Sans" w:hAnsi="Xunta Sans"/>
          <w:sz w:val="22"/>
          <w:szCs w:val="22"/>
        </w:rPr>
        <w:t>legais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</w:t>
      </w: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15. </w:t>
      </w:r>
      <w:r w:rsidR="00FE2481">
        <w:rPr>
          <w:rFonts w:ascii="Xunta Sans" w:hAnsi="Xunta Sans"/>
          <w:sz w:val="22"/>
          <w:szCs w:val="22"/>
        </w:rPr>
        <w:t xml:space="preserve"> </w:t>
      </w:r>
      <w:r w:rsidR="00FE2481" w:rsidRPr="00FE2481">
        <w:rPr>
          <w:rFonts w:ascii="Xunta Sans" w:hAnsi="Xunta Sans"/>
          <w:sz w:val="22"/>
          <w:szCs w:val="22"/>
        </w:rPr>
        <w:t xml:space="preserve">Real Decreto 311/2022, de 3 de mayo, por el que se regula el Esquema Nacional de Seguridad. </w:t>
      </w:r>
      <w:r w:rsidRPr="00C75B89">
        <w:rPr>
          <w:rFonts w:ascii="Xunta Sans" w:hAnsi="Xunta Sans"/>
          <w:sz w:val="22"/>
          <w:szCs w:val="22"/>
        </w:rPr>
        <w:t xml:space="preserve">Real decreto 4/2010 polo que se regula o esquema nacional de </w:t>
      </w:r>
      <w:proofErr w:type="spellStart"/>
      <w:r w:rsidRPr="00C75B89">
        <w:rPr>
          <w:rFonts w:ascii="Xunta Sans" w:hAnsi="Xunta Sans"/>
          <w:sz w:val="22"/>
          <w:szCs w:val="22"/>
        </w:rPr>
        <w:t>interoperabilidade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no ámbito da Administración electrónica. </w:t>
      </w:r>
      <w:proofErr w:type="spellStart"/>
      <w:r w:rsidRPr="00C75B89">
        <w:rPr>
          <w:rFonts w:ascii="Xunta Sans" w:hAnsi="Xunta Sans"/>
          <w:sz w:val="22"/>
          <w:szCs w:val="22"/>
        </w:rPr>
        <w:t>Instrucións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técnicas de </w:t>
      </w:r>
      <w:proofErr w:type="spellStart"/>
      <w:r w:rsidRPr="00C75B89">
        <w:rPr>
          <w:rFonts w:ascii="Xunta Sans" w:hAnsi="Xunta Sans"/>
          <w:sz w:val="22"/>
          <w:szCs w:val="22"/>
        </w:rPr>
        <w:t>desenvolvemento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do ENS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do ENI. </w:t>
      </w: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16. Factura electrónica. </w:t>
      </w:r>
      <w:proofErr w:type="spellStart"/>
      <w:r w:rsidRPr="00C75B89">
        <w:rPr>
          <w:rFonts w:ascii="Xunta Sans" w:hAnsi="Xunta Sans"/>
          <w:sz w:val="22"/>
          <w:szCs w:val="22"/>
        </w:rPr>
        <w:t>Lei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6/2020, de 11 de </w:t>
      </w:r>
      <w:proofErr w:type="spellStart"/>
      <w:r w:rsidRPr="00C75B89">
        <w:rPr>
          <w:rFonts w:ascii="Xunta Sans" w:hAnsi="Xunta Sans"/>
          <w:sz w:val="22"/>
          <w:szCs w:val="22"/>
        </w:rPr>
        <w:t>novembro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, reguladora de determinados aspectos dos </w:t>
      </w:r>
      <w:proofErr w:type="spellStart"/>
      <w:r w:rsidRPr="00C75B89">
        <w:rPr>
          <w:rFonts w:ascii="Xunta Sans" w:hAnsi="Xunta Sans"/>
          <w:sz w:val="22"/>
          <w:szCs w:val="22"/>
        </w:rPr>
        <w:t>servizos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electrónicos de confianza. </w:t>
      </w:r>
      <w:proofErr w:type="spellStart"/>
      <w:r w:rsidRPr="00C75B89">
        <w:rPr>
          <w:rFonts w:ascii="Xunta Sans" w:hAnsi="Xunta Sans"/>
          <w:sz w:val="22"/>
          <w:szCs w:val="22"/>
        </w:rPr>
        <w:t>Lei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</w:t>
      </w:r>
      <w:proofErr w:type="spellStart"/>
      <w:r w:rsidRPr="00C75B89">
        <w:rPr>
          <w:rFonts w:ascii="Xunta Sans" w:hAnsi="Xunta Sans"/>
          <w:sz w:val="22"/>
          <w:szCs w:val="22"/>
        </w:rPr>
        <w:t>servizos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da </w:t>
      </w:r>
      <w:proofErr w:type="spellStart"/>
      <w:r w:rsidRPr="00C75B89">
        <w:rPr>
          <w:rFonts w:ascii="Xunta Sans" w:hAnsi="Xunta Sans"/>
          <w:sz w:val="22"/>
          <w:szCs w:val="22"/>
        </w:rPr>
        <w:t>sociedade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da información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comercio electrónico. </w:t>
      </w:r>
      <w:proofErr w:type="spellStart"/>
      <w:r w:rsidRPr="00C75B89">
        <w:rPr>
          <w:rFonts w:ascii="Xunta Sans" w:hAnsi="Xunta Sans"/>
          <w:sz w:val="22"/>
          <w:szCs w:val="22"/>
        </w:rPr>
        <w:t>Accesibilidade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Decreto 3/2010, do 8 de </w:t>
      </w:r>
      <w:proofErr w:type="spellStart"/>
      <w:r w:rsidRPr="00C75B89">
        <w:rPr>
          <w:rFonts w:ascii="Xunta Sans" w:hAnsi="Xunta Sans"/>
          <w:sz w:val="22"/>
          <w:szCs w:val="22"/>
        </w:rPr>
        <w:t>xaneiro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, polo que se regula o sistema de facturación electrónica da Xunta de Galicia. </w:t>
      </w: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17. Normativa no ámbito da </w:t>
      </w:r>
      <w:proofErr w:type="spellStart"/>
      <w:r w:rsidRPr="00C75B89">
        <w:rPr>
          <w:rFonts w:ascii="Xunta Sans" w:hAnsi="Xunta Sans"/>
          <w:sz w:val="22"/>
          <w:szCs w:val="22"/>
        </w:rPr>
        <w:t>propiedade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intelectual. A protección </w:t>
      </w:r>
      <w:proofErr w:type="spellStart"/>
      <w:r w:rsidRPr="00C75B89">
        <w:rPr>
          <w:rFonts w:ascii="Xunta Sans" w:hAnsi="Xunta Sans"/>
          <w:sz w:val="22"/>
          <w:szCs w:val="22"/>
        </w:rPr>
        <w:t>xurídica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dos programas de ordenador. Tipos de </w:t>
      </w:r>
      <w:proofErr w:type="spellStart"/>
      <w:r w:rsidRPr="00C75B89">
        <w:rPr>
          <w:rFonts w:ascii="Xunta Sans" w:hAnsi="Xunta Sans"/>
          <w:sz w:val="22"/>
          <w:szCs w:val="22"/>
        </w:rPr>
        <w:t>licenzas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Software de </w:t>
      </w:r>
      <w:proofErr w:type="spellStart"/>
      <w:r w:rsidRPr="00C75B89">
        <w:rPr>
          <w:rFonts w:ascii="Xunta Sans" w:hAnsi="Xunta Sans"/>
          <w:sz w:val="22"/>
          <w:szCs w:val="22"/>
        </w:rPr>
        <w:t>fontes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abertas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(FLOSS).</w:t>
      </w: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lastRenderedPageBreak/>
        <w:t xml:space="preserve"> 18. </w:t>
      </w:r>
      <w:proofErr w:type="spellStart"/>
      <w:r w:rsidRPr="00C75B89">
        <w:rPr>
          <w:rFonts w:ascii="Xunta Sans" w:hAnsi="Xunta Sans"/>
          <w:sz w:val="22"/>
          <w:szCs w:val="22"/>
        </w:rPr>
        <w:t>Lexislación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sobre protección de datos. Normativa europea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nacional. </w:t>
      </w:r>
      <w:proofErr w:type="spellStart"/>
      <w:r w:rsidRPr="00C75B89">
        <w:rPr>
          <w:rFonts w:ascii="Xunta Sans" w:hAnsi="Xunta Sans"/>
          <w:sz w:val="22"/>
          <w:szCs w:val="22"/>
        </w:rPr>
        <w:t>Regulamento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UE 2016/679, do 27 de abril, relativo </w:t>
      </w:r>
      <w:proofErr w:type="spellStart"/>
      <w:r w:rsidRPr="00C75B89">
        <w:rPr>
          <w:rFonts w:ascii="Xunta Sans" w:hAnsi="Xunta Sans"/>
          <w:sz w:val="22"/>
          <w:szCs w:val="22"/>
        </w:rPr>
        <w:t>á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protección das </w:t>
      </w:r>
      <w:proofErr w:type="spellStart"/>
      <w:r w:rsidRPr="00C75B89">
        <w:rPr>
          <w:rFonts w:ascii="Xunta Sans" w:hAnsi="Xunta Sans"/>
          <w:sz w:val="22"/>
          <w:szCs w:val="22"/>
        </w:rPr>
        <w:t>persoas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físicas no que respecta </w:t>
      </w:r>
      <w:proofErr w:type="spellStart"/>
      <w:r w:rsidRPr="00C75B89">
        <w:rPr>
          <w:rFonts w:ascii="Xunta Sans" w:hAnsi="Xunta Sans"/>
          <w:sz w:val="22"/>
          <w:szCs w:val="22"/>
        </w:rPr>
        <w:t>ao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tratamento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datos </w:t>
      </w:r>
      <w:proofErr w:type="spellStart"/>
      <w:r w:rsidRPr="00C75B89">
        <w:rPr>
          <w:rFonts w:ascii="Xunta Sans" w:hAnsi="Xunta Sans"/>
          <w:sz w:val="22"/>
          <w:szCs w:val="22"/>
        </w:rPr>
        <w:t>persoais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 a libre circulación </w:t>
      </w:r>
      <w:proofErr w:type="spellStart"/>
      <w:r w:rsidRPr="00C75B89">
        <w:rPr>
          <w:rFonts w:ascii="Xunta Sans" w:hAnsi="Xunta Sans"/>
          <w:sz w:val="22"/>
          <w:szCs w:val="22"/>
        </w:rPr>
        <w:t>destes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datos. Principios e </w:t>
      </w:r>
      <w:proofErr w:type="spellStart"/>
      <w:r w:rsidRPr="00C75B89">
        <w:rPr>
          <w:rFonts w:ascii="Xunta Sans" w:hAnsi="Xunta Sans"/>
          <w:sz w:val="22"/>
          <w:szCs w:val="22"/>
        </w:rPr>
        <w:t>dereitos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</w:t>
      </w:r>
      <w:proofErr w:type="spellStart"/>
      <w:r w:rsidRPr="00C75B89">
        <w:rPr>
          <w:rFonts w:ascii="Xunta Sans" w:hAnsi="Xunta Sans"/>
          <w:sz w:val="22"/>
          <w:szCs w:val="22"/>
        </w:rPr>
        <w:t>Obrigacións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A </w:t>
      </w:r>
      <w:proofErr w:type="spellStart"/>
      <w:r w:rsidRPr="00C75B89">
        <w:rPr>
          <w:rFonts w:ascii="Xunta Sans" w:hAnsi="Xunta Sans"/>
          <w:sz w:val="22"/>
          <w:szCs w:val="22"/>
        </w:rPr>
        <w:t>Lei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orgánica 3/2018, do 5 de </w:t>
      </w:r>
      <w:proofErr w:type="spellStart"/>
      <w:r w:rsidRPr="00C75B89">
        <w:rPr>
          <w:rFonts w:ascii="Xunta Sans" w:hAnsi="Xunta Sans"/>
          <w:sz w:val="22"/>
          <w:szCs w:val="22"/>
        </w:rPr>
        <w:t>decembro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, de protección de datos </w:t>
      </w:r>
      <w:proofErr w:type="spellStart"/>
      <w:r w:rsidRPr="00C75B89">
        <w:rPr>
          <w:rFonts w:ascii="Xunta Sans" w:hAnsi="Xunta Sans"/>
          <w:sz w:val="22"/>
          <w:szCs w:val="22"/>
        </w:rPr>
        <w:t>persoais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 garantía dos </w:t>
      </w:r>
      <w:proofErr w:type="spellStart"/>
      <w:r w:rsidRPr="00C75B89">
        <w:rPr>
          <w:rFonts w:ascii="Xunta Sans" w:hAnsi="Xunta Sans"/>
          <w:sz w:val="22"/>
          <w:szCs w:val="22"/>
        </w:rPr>
        <w:t>dereitos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dixitais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A Axencia Española de Protección de Datos. </w:t>
      </w: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19. Plan director de </w:t>
      </w:r>
      <w:proofErr w:type="spellStart"/>
      <w:r w:rsidRPr="00C75B89">
        <w:rPr>
          <w:rFonts w:ascii="Xunta Sans" w:hAnsi="Xunta Sans"/>
          <w:sz w:val="22"/>
          <w:szCs w:val="22"/>
        </w:rPr>
        <w:t>seguridade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TIC da Xunta de Galicia. Decreto 230/2008 polo que se establecen </w:t>
      </w:r>
      <w:proofErr w:type="spellStart"/>
      <w:r w:rsidRPr="00C75B89">
        <w:rPr>
          <w:rFonts w:ascii="Xunta Sans" w:hAnsi="Xunta Sans"/>
          <w:sz w:val="22"/>
          <w:szCs w:val="22"/>
        </w:rPr>
        <w:t>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normas de boas prácticas </w:t>
      </w:r>
      <w:proofErr w:type="spellStart"/>
      <w:r w:rsidRPr="00C75B89">
        <w:rPr>
          <w:rFonts w:ascii="Xunta Sans" w:hAnsi="Xunta Sans"/>
          <w:sz w:val="22"/>
          <w:szCs w:val="22"/>
        </w:rPr>
        <w:t>na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utilización dos sistemas de información da Administración da </w:t>
      </w:r>
      <w:proofErr w:type="spellStart"/>
      <w:r w:rsidRPr="00C75B89">
        <w:rPr>
          <w:rFonts w:ascii="Xunta Sans" w:hAnsi="Xunta Sans"/>
          <w:sz w:val="22"/>
          <w:szCs w:val="22"/>
        </w:rPr>
        <w:t>Comunidade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Autónoma de Galicia. Resolución da Amtega do 10 de </w:t>
      </w:r>
      <w:proofErr w:type="spellStart"/>
      <w:r w:rsidRPr="00C75B89">
        <w:rPr>
          <w:rFonts w:ascii="Xunta Sans" w:hAnsi="Xunta Sans"/>
          <w:sz w:val="22"/>
          <w:szCs w:val="22"/>
        </w:rPr>
        <w:t>xullo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2015 </w:t>
      </w:r>
      <w:proofErr w:type="spellStart"/>
      <w:r w:rsidRPr="00C75B89">
        <w:rPr>
          <w:rFonts w:ascii="Xunta Sans" w:hAnsi="Xunta Sans"/>
          <w:sz w:val="22"/>
          <w:szCs w:val="22"/>
        </w:rPr>
        <w:t>pola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que se </w:t>
      </w:r>
      <w:proofErr w:type="spellStart"/>
      <w:r w:rsidRPr="00C75B89">
        <w:rPr>
          <w:rFonts w:ascii="Xunta Sans" w:hAnsi="Xunta Sans"/>
          <w:sz w:val="22"/>
          <w:szCs w:val="22"/>
        </w:rPr>
        <w:t>dá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publicidade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da política de </w:t>
      </w:r>
      <w:proofErr w:type="spellStart"/>
      <w:r w:rsidRPr="00C75B89">
        <w:rPr>
          <w:rFonts w:ascii="Xunta Sans" w:hAnsi="Xunta Sans"/>
          <w:sz w:val="22"/>
          <w:szCs w:val="22"/>
        </w:rPr>
        <w:t>seguridade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da información da Administración </w:t>
      </w:r>
      <w:proofErr w:type="spellStart"/>
      <w:r w:rsidRPr="00C75B89">
        <w:rPr>
          <w:rFonts w:ascii="Xunta Sans" w:hAnsi="Xunta Sans"/>
          <w:sz w:val="22"/>
          <w:szCs w:val="22"/>
        </w:rPr>
        <w:t>xeral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 do sector público autonómico de Galicia. Nodo </w:t>
      </w:r>
      <w:proofErr w:type="spellStart"/>
      <w:r w:rsidRPr="00C75B89">
        <w:rPr>
          <w:rFonts w:ascii="Xunta Sans" w:hAnsi="Xunta Sans"/>
          <w:sz w:val="22"/>
          <w:szCs w:val="22"/>
        </w:rPr>
        <w:t>Galego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</w:t>
      </w:r>
      <w:proofErr w:type="spellStart"/>
      <w:r w:rsidRPr="00C75B89">
        <w:rPr>
          <w:rFonts w:ascii="Xunta Sans" w:hAnsi="Xunta Sans"/>
          <w:sz w:val="22"/>
          <w:szCs w:val="22"/>
        </w:rPr>
        <w:t>Ciberseguridade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CIBER.gal</w:t>
      </w:r>
      <w:proofErr w:type="spellEnd"/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eastAsia="Times New Roman" w:hAnsi="Xunta Sans" w:cs="ArialMT"/>
          <w:kern w:val="0"/>
          <w:sz w:val="22"/>
          <w:szCs w:val="22"/>
          <w:lang w:eastAsia="es-ES" w:bidi="ar-SA"/>
        </w:rPr>
      </w:pP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20. Implantación da Administración electrónica. Sede electrónica e </w:t>
      </w:r>
      <w:proofErr w:type="spellStart"/>
      <w:r w:rsidRPr="00C75B89">
        <w:rPr>
          <w:rFonts w:ascii="Xunta Sans" w:hAnsi="Xunta Sans"/>
          <w:sz w:val="22"/>
          <w:szCs w:val="22"/>
        </w:rPr>
        <w:t>servizos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sede. </w:t>
      </w:r>
      <w:proofErr w:type="spellStart"/>
      <w:r w:rsidRPr="00C75B89">
        <w:rPr>
          <w:rFonts w:ascii="Xunta Sans" w:hAnsi="Xunta Sans"/>
          <w:sz w:val="22"/>
          <w:szCs w:val="22"/>
        </w:rPr>
        <w:t>Rexistro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electrónico. Expediente electrónico. </w:t>
      </w:r>
      <w:proofErr w:type="spellStart"/>
      <w:r w:rsidRPr="00C75B89">
        <w:rPr>
          <w:rFonts w:ascii="Xunta Sans" w:hAnsi="Xunta Sans"/>
          <w:sz w:val="22"/>
          <w:szCs w:val="22"/>
        </w:rPr>
        <w:t>Arquivo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electrónico de documentos. </w:t>
      </w:r>
      <w:proofErr w:type="spellStart"/>
      <w:r w:rsidRPr="00C75B89">
        <w:rPr>
          <w:rFonts w:ascii="Xunta Sans" w:hAnsi="Xunta Sans"/>
          <w:sz w:val="22"/>
          <w:szCs w:val="22"/>
        </w:rPr>
        <w:t>Notificacións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telemáticas. </w:t>
      </w:r>
      <w:proofErr w:type="spellStart"/>
      <w:r w:rsidRPr="00C75B89">
        <w:rPr>
          <w:rFonts w:ascii="Xunta Sans" w:hAnsi="Xunta Sans"/>
          <w:sz w:val="22"/>
          <w:szCs w:val="22"/>
        </w:rPr>
        <w:t>Dixitalización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, compulsa electrónica. Factura e licitación electrónicas. </w:t>
      </w:r>
      <w:proofErr w:type="spellStart"/>
      <w:r w:rsidRPr="00C75B89">
        <w:rPr>
          <w:rFonts w:ascii="Xunta Sans" w:hAnsi="Xunta Sans"/>
          <w:sz w:val="22"/>
          <w:szCs w:val="22"/>
        </w:rPr>
        <w:t>Interoperabilidade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Iniciativas do </w:t>
      </w:r>
      <w:proofErr w:type="spellStart"/>
      <w:r w:rsidRPr="00C75B89">
        <w:rPr>
          <w:rFonts w:ascii="Xunta Sans" w:hAnsi="Xunta Sans"/>
          <w:sz w:val="22"/>
          <w:szCs w:val="22"/>
        </w:rPr>
        <w:t>Goberno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galego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: </w:t>
      </w:r>
      <w:proofErr w:type="spellStart"/>
      <w:r w:rsidRPr="00C75B89">
        <w:rPr>
          <w:rFonts w:ascii="Xunta Sans" w:hAnsi="Xunta Sans"/>
          <w:sz w:val="22"/>
          <w:szCs w:val="22"/>
        </w:rPr>
        <w:t>Osimga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, Rede </w:t>
      </w:r>
      <w:proofErr w:type="spellStart"/>
      <w:r w:rsidRPr="00C75B89">
        <w:rPr>
          <w:rFonts w:ascii="Xunta Sans" w:hAnsi="Xunta Sans"/>
          <w:sz w:val="22"/>
          <w:szCs w:val="22"/>
        </w:rPr>
        <w:t>CeMIT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, Plan de banda larga 2020, </w:t>
      </w:r>
      <w:proofErr w:type="spellStart"/>
      <w:r w:rsidRPr="00C75B89">
        <w:rPr>
          <w:rFonts w:ascii="Xunta Sans" w:hAnsi="Xunta Sans"/>
          <w:sz w:val="22"/>
          <w:szCs w:val="22"/>
        </w:rPr>
        <w:t>Axenda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dixital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Galicia 2020. </w:t>
      </w:r>
      <w:proofErr w:type="spellStart"/>
      <w:r w:rsidRPr="00C75B89">
        <w:rPr>
          <w:rFonts w:ascii="Xunta Sans" w:hAnsi="Xunta Sans"/>
          <w:sz w:val="22"/>
          <w:szCs w:val="22"/>
        </w:rPr>
        <w:t>Estratexia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impulso </w:t>
      </w:r>
      <w:proofErr w:type="spellStart"/>
      <w:r w:rsidRPr="00C75B89">
        <w:rPr>
          <w:rFonts w:ascii="Xunta Sans" w:hAnsi="Xunta Sans"/>
          <w:sz w:val="22"/>
          <w:szCs w:val="22"/>
        </w:rPr>
        <w:t>ao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sector TIC. Plan de Administración e </w:t>
      </w:r>
      <w:proofErr w:type="spellStart"/>
      <w:r w:rsidRPr="00C75B89">
        <w:rPr>
          <w:rFonts w:ascii="Xunta Sans" w:hAnsi="Xunta Sans"/>
          <w:sz w:val="22"/>
          <w:szCs w:val="22"/>
        </w:rPr>
        <w:t>Goberno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dixitais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2020. Sistemas de información. </w:t>
      </w: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21. Definición e </w:t>
      </w:r>
      <w:proofErr w:type="spellStart"/>
      <w:r w:rsidRPr="00C75B89">
        <w:rPr>
          <w:rFonts w:ascii="Xunta Sans" w:hAnsi="Xunta Sans"/>
          <w:sz w:val="22"/>
          <w:szCs w:val="22"/>
        </w:rPr>
        <w:t>estruturas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dos sistemas de información. Subsistema físico e </w:t>
      </w:r>
      <w:proofErr w:type="spellStart"/>
      <w:r w:rsidRPr="00C75B89">
        <w:rPr>
          <w:rFonts w:ascii="Xunta Sans" w:hAnsi="Xunta Sans"/>
          <w:sz w:val="22"/>
          <w:szCs w:val="22"/>
        </w:rPr>
        <w:t>lóxico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Principios de </w:t>
      </w:r>
      <w:proofErr w:type="spellStart"/>
      <w:r w:rsidRPr="00C75B89">
        <w:rPr>
          <w:rFonts w:ascii="Xunta Sans" w:hAnsi="Xunta Sans"/>
          <w:sz w:val="22"/>
          <w:szCs w:val="22"/>
        </w:rPr>
        <w:t>funcionamento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dos ordenadores. Arquitectura e </w:t>
      </w:r>
      <w:proofErr w:type="spellStart"/>
      <w:r w:rsidRPr="00C75B89">
        <w:rPr>
          <w:rFonts w:ascii="Xunta Sans" w:hAnsi="Xunta Sans"/>
          <w:sz w:val="22"/>
          <w:szCs w:val="22"/>
        </w:rPr>
        <w:t>compoñentes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dos ordenadores. </w:t>
      </w:r>
      <w:proofErr w:type="spellStart"/>
      <w:r w:rsidRPr="00C75B89">
        <w:rPr>
          <w:rFonts w:ascii="Xunta Sans" w:hAnsi="Xunta Sans"/>
          <w:sz w:val="22"/>
          <w:szCs w:val="22"/>
        </w:rPr>
        <w:t>Unidade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central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periféricos. Servidores. </w:t>
      </w:r>
      <w:proofErr w:type="spellStart"/>
      <w:r w:rsidRPr="00C75B89">
        <w:rPr>
          <w:rFonts w:ascii="Xunta Sans" w:hAnsi="Xunta Sans"/>
          <w:sz w:val="22"/>
          <w:szCs w:val="22"/>
        </w:rPr>
        <w:t>Posto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</w:t>
      </w:r>
      <w:proofErr w:type="spellStart"/>
      <w:r w:rsidRPr="00C75B89">
        <w:rPr>
          <w:rFonts w:ascii="Xunta Sans" w:hAnsi="Xunta Sans"/>
          <w:sz w:val="22"/>
          <w:szCs w:val="22"/>
        </w:rPr>
        <w:t>traballo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Dispositivos </w:t>
      </w:r>
      <w:proofErr w:type="spellStart"/>
      <w:r w:rsidRPr="00C75B89">
        <w:rPr>
          <w:rFonts w:ascii="Xunta Sans" w:hAnsi="Xunta Sans"/>
          <w:sz w:val="22"/>
          <w:szCs w:val="22"/>
        </w:rPr>
        <w:t>persoais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</w:t>
      </w: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22. </w:t>
      </w:r>
      <w:proofErr w:type="spellStart"/>
      <w:r w:rsidRPr="00C75B89">
        <w:rPr>
          <w:rFonts w:ascii="Xunta Sans" w:hAnsi="Xunta Sans"/>
          <w:sz w:val="22"/>
          <w:szCs w:val="22"/>
        </w:rPr>
        <w:t>Estruturas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da información. Modelo entidade-relación. Entidades e atributos. </w:t>
      </w:r>
      <w:proofErr w:type="spellStart"/>
      <w:r w:rsidRPr="00C75B89">
        <w:rPr>
          <w:rFonts w:ascii="Xunta Sans" w:hAnsi="Xunta Sans"/>
          <w:sz w:val="22"/>
          <w:szCs w:val="22"/>
        </w:rPr>
        <w:t>Relacións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Diagramas de entidade-relación. </w:t>
      </w: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23. Sistemas de </w:t>
      </w:r>
      <w:proofErr w:type="spellStart"/>
      <w:r w:rsidRPr="00C75B89">
        <w:rPr>
          <w:rFonts w:ascii="Xunta Sans" w:hAnsi="Xunta Sans"/>
          <w:sz w:val="22"/>
          <w:szCs w:val="22"/>
        </w:rPr>
        <w:t>xestión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bases de datos. Modelo relacional. Normalización. SQL. </w:t>
      </w:r>
      <w:proofErr w:type="spellStart"/>
      <w:r w:rsidRPr="00C75B89">
        <w:rPr>
          <w:rFonts w:ascii="Xunta Sans" w:hAnsi="Xunta Sans"/>
          <w:sz w:val="22"/>
          <w:szCs w:val="22"/>
        </w:rPr>
        <w:t>Linguaxe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definición de datos (DDL), </w:t>
      </w:r>
      <w:proofErr w:type="spellStart"/>
      <w:r w:rsidRPr="00C75B89">
        <w:rPr>
          <w:rFonts w:ascii="Xunta Sans" w:hAnsi="Xunta Sans"/>
          <w:sz w:val="22"/>
          <w:szCs w:val="22"/>
        </w:rPr>
        <w:t>linguaxe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manipulación de datos (DML) e </w:t>
      </w:r>
      <w:proofErr w:type="spellStart"/>
      <w:r w:rsidRPr="00C75B89">
        <w:rPr>
          <w:rFonts w:ascii="Xunta Sans" w:hAnsi="Xunta Sans"/>
          <w:sz w:val="22"/>
          <w:szCs w:val="22"/>
        </w:rPr>
        <w:t>linguaxe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control de datos (DCL).</w:t>
      </w: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</w:t>
      </w:r>
      <w:r w:rsidRPr="00FE2481">
        <w:rPr>
          <w:rFonts w:ascii="Xunta Sans" w:hAnsi="Xunta Sans"/>
          <w:sz w:val="22"/>
          <w:szCs w:val="22"/>
          <w:lang w:val="en-GB"/>
        </w:rPr>
        <w:t xml:space="preserve">24. Datawarehouse. Data Marts. </w:t>
      </w:r>
      <w:proofErr w:type="spellStart"/>
      <w:r w:rsidRPr="00FE2481">
        <w:rPr>
          <w:rFonts w:ascii="Xunta Sans" w:hAnsi="Xunta Sans"/>
          <w:sz w:val="22"/>
          <w:szCs w:val="22"/>
          <w:lang w:val="en-GB"/>
        </w:rPr>
        <w:t>Arquitectura</w:t>
      </w:r>
      <w:proofErr w:type="spellEnd"/>
      <w:r w:rsidRPr="00FE2481">
        <w:rPr>
          <w:rFonts w:ascii="Xunta Sans" w:hAnsi="Xunta Sans"/>
          <w:sz w:val="22"/>
          <w:szCs w:val="22"/>
          <w:lang w:val="en-GB"/>
        </w:rPr>
        <w:t xml:space="preserve">. </w:t>
      </w:r>
      <w:proofErr w:type="spellStart"/>
      <w:r w:rsidRPr="00FE2481">
        <w:rPr>
          <w:rFonts w:ascii="Xunta Sans" w:hAnsi="Xunta Sans"/>
          <w:sz w:val="22"/>
          <w:szCs w:val="22"/>
          <w:lang w:val="en-GB"/>
        </w:rPr>
        <w:t>Análise</w:t>
      </w:r>
      <w:proofErr w:type="spellEnd"/>
      <w:r w:rsidRPr="00FE2481">
        <w:rPr>
          <w:rFonts w:ascii="Xunta Sans" w:hAnsi="Xunta Sans"/>
          <w:sz w:val="22"/>
          <w:szCs w:val="22"/>
          <w:lang w:val="en-GB"/>
        </w:rPr>
        <w:t xml:space="preserve"> multidimensional e </w:t>
      </w:r>
      <w:proofErr w:type="spellStart"/>
      <w:r w:rsidRPr="00FE2481">
        <w:rPr>
          <w:rFonts w:ascii="Xunta Sans" w:hAnsi="Xunta Sans"/>
          <w:sz w:val="22"/>
          <w:szCs w:val="22"/>
          <w:lang w:val="en-GB"/>
        </w:rPr>
        <w:t>arquitecturas</w:t>
      </w:r>
      <w:proofErr w:type="spellEnd"/>
      <w:r w:rsidRPr="00FE2481">
        <w:rPr>
          <w:rFonts w:ascii="Xunta Sans" w:hAnsi="Xunta Sans"/>
          <w:sz w:val="22"/>
          <w:szCs w:val="22"/>
          <w:lang w:val="en-GB"/>
        </w:rPr>
        <w:t xml:space="preserve"> OLAP. ROLAP/MOLAP/HOLAP. </w:t>
      </w:r>
      <w:r w:rsidRPr="00C75B89">
        <w:rPr>
          <w:rFonts w:ascii="Xunta Sans" w:hAnsi="Xunta Sans"/>
          <w:sz w:val="22"/>
          <w:szCs w:val="22"/>
        </w:rPr>
        <w:t xml:space="preserve">Minaría de datos. </w:t>
      </w:r>
      <w:proofErr w:type="spellStart"/>
      <w:r w:rsidRPr="00C75B89">
        <w:rPr>
          <w:rFonts w:ascii="Xunta Sans" w:hAnsi="Xunta Sans"/>
          <w:sz w:val="22"/>
          <w:szCs w:val="22"/>
        </w:rPr>
        <w:t>Xeración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informes </w:t>
      </w:r>
      <w:proofErr w:type="spellStart"/>
      <w:r w:rsidRPr="00C75B89">
        <w:rPr>
          <w:rFonts w:ascii="Xunta Sans" w:hAnsi="Xunta Sans"/>
          <w:sz w:val="22"/>
          <w:szCs w:val="22"/>
        </w:rPr>
        <w:t>á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r w:rsidRPr="00C75B89">
        <w:rPr>
          <w:rFonts w:ascii="Xunta Sans" w:hAnsi="Xunta Sans"/>
          <w:sz w:val="22"/>
          <w:szCs w:val="22"/>
        </w:rPr>
        <w:lastRenderedPageBreak/>
        <w:t xml:space="preserve">dirección. Captura, </w:t>
      </w:r>
      <w:proofErr w:type="spellStart"/>
      <w:r w:rsidRPr="00C75B89">
        <w:rPr>
          <w:rFonts w:ascii="Xunta Sans" w:hAnsi="Xunta Sans"/>
          <w:sz w:val="22"/>
          <w:szCs w:val="22"/>
        </w:rPr>
        <w:t>almacenamento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, </w:t>
      </w:r>
      <w:proofErr w:type="spellStart"/>
      <w:r w:rsidRPr="00C75B89">
        <w:rPr>
          <w:rFonts w:ascii="Xunta Sans" w:hAnsi="Xunta Sans"/>
          <w:sz w:val="22"/>
          <w:szCs w:val="22"/>
        </w:rPr>
        <w:t>procesamento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 </w:t>
      </w:r>
      <w:proofErr w:type="spellStart"/>
      <w:r w:rsidRPr="00C75B89">
        <w:rPr>
          <w:rFonts w:ascii="Xunta Sans" w:hAnsi="Xunta Sans"/>
          <w:sz w:val="22"/>
          <w:szCs w:val="22"/>
        </w:rPr>
        <w:t>análise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grandes </w:t>
      </w:r>
      <w:proofErr w:type="spellStart"/>
      <w:r w:rsidRPr="00C75B89">
        <w:rPr>
          <w:rFonts w:ascii="Xunta Sans" w:hAnsi="Xunta Sans"/>
          <w:sz w:val="22"/>
          <w:szCs w:val="22"/>
        </w:rPr>
        <w:t>volumes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información (Big Data). </w:t>
      </w: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25. Sistemas de </w:t>
      </w:r>
      <w:proofErr w:type="spellStart"/>
      <w:r w:rsidRPr="00C75B89">
        <w:rPr>
          <w:rFonts w:ascii="Xunta Sans" w:hAnsi="Xunta Sans"/>
          <w:sz w:val="22"/>
          <w:szCs w:val="22"/>
        </w:rPr>
        <w:t>xestión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</w:t>
      </w:r>
      <w:proofErr w:type="spellStart"/>
      <w:r w:rsidRPr="00C75B89">
        <w:rPr>
          <w:rFonts w:ascii="Xunta Sans" w:hAnsi="Xunta Sans"/>
          <w:sz w:val="22"/>
          <w:szCs w:val="22"/>
        </w:rPr>
        <w:t>contidos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Sistemas de </w:t>
      </w:r>
      <w:proofErr w:type="spellStart"/>
      <w:r w:rsidRPr="00C75B89">
        <w:rPr>
          <w:rFonts w:ascii="Xunta Sans" w:hAnsi="Xunta Sans"/>
          <w:sz w:val="22"/>
          <w:szCs w:val="22"/>
        </w:rPr>
        <w:t>xestión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documental. </w:t>
      </w:r>
      <w:proofErr w:type="spellStart"/>
      <w:r w:rsidRPr="00C75B89">
        <w:rPr>
          <w:rFonts w:ascii="Xunta Sans" w:hAnsi="Xunta Sans"/>
          <w:sz w:val="22"/>
          <w:szCs w:val="22"/>
        </w:rPr>
        <w:t>Xestión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do </w:t>
      </w:r>
      <w:proofErr w:type="spellStart"/>
      <w:r w:rsidRPr="00C75B89">
        <w:rPr>
          <w:rFonts w:ascii="Xunta Sans" w:hAnsi="Xunta Sans"/>
          <w:sz w:val="22"/>
          <w:szCs w:val="22"/>
        </w:rPr>
        <w:t>coñecemento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Os sistemas de información </w:t>
      </w:r>
      <w:proofErr w:type="spellStart"/>
      <w:r w:rsidRPr="00C75B89">
        <w:rPr>
          <w:rFonts w:ascii="Xunta Sans" w:hAnsi="Xunta Sans"/>
          <w:sz w:val="22"/>
          <w:szCs w:val="22"/>
        </w:rPr>
        <w:t>xeográfica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(SIX). </w:t>
      </w: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26. Motores de busca. Servidores de </w:t>
      </w:r>
      <w:proofErr w:type="spellStart"/>
      <w:r w:rsidRPr="00C75B89">
        <w:rPr>
          <w:rFonts w:ascii="Xunta Sans" w:hAnsi="Xunta Sans"/>
          <w:sz w:val="22"/>
          <w:szCs w:val="22"/>
        </w:rPr>
        <w:t>mensaxaría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Sistemas de correo. Listas de distribución. Grupos de noticias de rede (NNTP). Sistemas de videoconferencia: </w:t>
      </w:r>
      <w:proofErr w:type="spellStart"/>
      <w:r w:rsidRPr="00C75B89">
        <w:rPr>
          <w:rFonts w:ascii="Xunta Sans" w:hAnsi="Xunta Sans"/>
          <w:sz w:val="22"/>
          <w:szCs w:val="22"/>
        </w:rPr>
        <w:t>dimensionamento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 </w:t>
      </w:r>
      <w:proofErr w:type="spellStart"/>
      <w:r w:rsidRPr="00C75B89">
        <w:rPr>
          <w:rFonts w:ascii="Xunta Sans" w:hAnsi="Xunta Sans"/>
          <w:sz w:val="22"/>
          <w:szCs w:val="22"/>
        </w:rPr>
        <w:t>calidade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do servicio </w:t>
      </w:r>
      <w:proofErr w:type="spellStart"/>
      <w:r w:rsidRPr="00C75B89">
        <w:rPr>
          <w:rFonts w:ascii="Xunta Sans" w:hAnsi="Xunta Sans"/>
          <w:sz w:val="22"/>
          <w:szCs w:val="22"/>
        </w:rPr>
        <w:t>nas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comunicacións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, </w:t>
      </w:r>
      <w:proofErr w:type="spellStart"/>
      <w:r w:rsidRPr="00C75B89">
        <w:rPr>
          <w:rFonts w:ascii="Xunta Sans" w:hAnsi="Xunta Sans"/>
          <w:sz w:val="22"/>
          <w:szCs w:val="22"/>
        </w:rPr>
        <w:t>acondicionamento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salas e </w:t>
      </w:r>
      <w:proofErr w:type="spellStart"/>
      <w:r w:rsidRPr="00C75B89">
        <w:rPr>
          <w:rFonts w:ascii="Xunta Sans" w:hAnsi="Xunta Sans"/>
          <w:sz w:val="22"/>
          <w:szCs w:val="22"/>
        </w:rPr>
        <w:t>equipamentos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</w:t>
      </w:r>
      <w:proofErr w:type="spellStart"/>
      <w:r w:rsidRPr="00C75B89">
        <w:rPr>
          <w:rFonts w:ascii="Xunta Sans" w:hAnsi="Xunta Sans"/>
          <w:sz w:val="22"/>
          <w:szCs w:val="22"/>
        </w:rPr>
        <w:t>Streaming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vídeo. </w:t>
      </w:r>
      <w:proofErr w:type="spellStart"/>
      <w:r w:rsidRPr="00C75B89">
        <w:rPr>
          <w:rFonts w:ascii="Xunta Sans" w:hAnsi="Xunta Sans"/>
          <w:sz w:val="22"/>
          <w:szCs w:val="22"/>
        </w:rPr>
        <w:t>Mensaxaría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instantánea. </w:t>
      </w:r>
      <w:proofErr w:type="spellStart"/>
      <w:r w:rsidRPr="00C75B89">
        <w:rPr>
          <w:rFonts w:ascii="Xunta Sans" w:hAnsi="Xunta Sans"/>
          <w:sz w:val="22"/>
          <w:szCs w:val="22"/>
        </w:rPr>
        <w:t>Accesibilidade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 </w:t>
      </w:r>
      <w:proofErr w:type="spellStart"/>
      <w:r w:rsidRPr="00C75B89">
        <w:rPr>
          <w:rFonts w:ascii="Xunta Sans" w:hAnsi="Xunta Sans"/>
          <w:sz w:val="22"/>
          <w:szCs w:val="22"/>
        </w:rPr>
        <w:t>usabilidade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W3C. E-learning. Web 2.0. Wikis. Blogs. Comunidades </w:t>
      </w:r>
      <w:proofErr w:type="spellStart"/>
      <w:r w:rsidRPr="00C75B89">
        <w:rPr>
          <w:rFonts w:ascii="Xunta Sans" w:hAnsi="Xunta Sans"/>
          <w:sz w:val="22"/>
          <w:szCs w:val="22"/>
        </w:rPr>
        <w:t>virtuais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Redes </w:t>
      </w:r>
      <w:proofErr w:type="spellStart"/>
      <w:r w:rsidRPr="00C75B89">
        <w:rPr>
          <w:rFonts w:ascii="Xunta Sans" w:hAnsi="Xunta Sans"/>
          <w:sz w:val="22"/>
          <w:szCs w:val="22"/>
        </w:rPr>
        <w:t>sociais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Sindicación de </w:t>
      </w:r>
      <w:proofErr w:type="spellStart"/>
      <w:r w:rsidRPr="00C75B89">
        <w:rPr>
          <w:rFonts w:ascii="Xunta Sans" w:hAnsi="Xunta Sans"/>
          <w:sz w:val="22"/>
          <w:szCs w:val="22"/>
        </w:rPr>
        <w:t>contidos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Podcast. Suites de ofimática en web. </w:t>
      </w:r>
      <w:proofErr w:type="spellStart"/>
      <w:r w:rsidRPr="00C75B89">
        <w:rPr>
          <w:rFonts w:ascii="Xunta Sans" w:hAnsi="Xunta Sans"/>
          <w:sz w:val="22"/>
          <w:szCs w:val="22"/>
        </w:rPr>
        <w:t>Almacenamento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en web. Escritorios </w:t>
      </w:r>
      <w:proofErr w:type="spellStart"/>
      <w:r w:rsidRPr="00C75B89">
        <w:rPr>
          <w:rFonts w:ascii="Xunta Sans" w:hAnsi="Xunta Sans"/>
          <w:sz w:val="22"/>
          <w:szCs w:val="22"/>
        </w:rPr>
        <w:t>virtuais</w:t>
      </w:r>
      <w:proofErr w:type="spellEnd"/>
      <w:r w:rsidRPr="00C75B89">
        <w:rPr>
          <w:rFonts w:ascii="Xunta Sans" w:hAnsi="Xunta Sans"/>
          <w:sz w:val="22"/>
          <w:szCs w:val="22"/>
        </w:rPr>
        <w:t>. P2P. Web semántica.</w:t>
      </w: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27. </w:t>
      </w:r>
      <w:proofErr w:type="spellStart"/>
      <w:r w:rsidRPr="00C75B89">
        <w:rPr>
          <w:rFonts w:ascii="Xunta Sans" w:hAnsi="Xunta Sans"/>
          <w:sz w:val="22"/>
          <w:szCs w:val="22"/>
        </w:rPr>
        <w:t>Ferramentas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ofimáticas. Procesadores de texto, follas de cálculo, bases de datos, </w:t>
      </w:r>
      <w:proofErr w:type="spellStart"/>
      <w:r w:rsidRPr="00C75B89">
        <w:rPr>
          <w:rFonts w:ascii="Xunta Sans" w:hAnsi="Xunta Sans"/>
          <w:sz w:val="22"/>
          <w:szCs w:val="22"/>
        </w:rPr>
        <w:t>presentacións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Suites de ofimática </w:t>
      </w:r>
      <w:proofErr w:type="spellStart"/>
      <w:r w:rsidRPr="00C75B89">
        <w:rPr>
          <w:rFonts w:ascii="Xunta Sans" w:hAnsi="Xunta Sans"/>
          <w:sz w:val="22"/>
          <w:szCs w:val="22"/>
        </w:rPr>
        <w:t>na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nube</w:t>
      </w: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eastAsia="Times New Roman" w:hAnsi="Xunta Sans" w:cs="ArialMT"/>
          <w:kern w:val="0"/>
          <w:sz w:val="22"/>
          <w:szCs w:val="22"/>
          <w:lang w:eastAsia="es-ES" w:bidi="ar-SA"/>
        </w:rPr>
      </w:pP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Arquitectura dos sistemas de información.</w:t>
      </w: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28. Arquitectura das redes intranet e internet: concepto, </w:t>
      </w:r>
      <w:proofErr w:type="spellStart"/>
      <w:r w:rsidRPr="00C75B89">
        <w:rPr>
          <w:rFonts w:ascii="Xunta Sans" w:hAnsi="Xunta Sans"/>
          <w:sz w:val="22"/>
          <w:szCs w:val="22"/>
        </w:rPr>
        <w:t>estrutura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 características. A </w:t>
      </w:r>
      <w:proofErr w:type="spellStart"/>
      <w:r w:rsidRPr="00C75B89">
        <w:rPr>
          <w:rFonts w:ascii="Xunta Sans" w:hAnsi="Xunta Sans"/>
          <w:sz w:val="22"/>
          <w:szCs w:val="22"/>
        </w:rPr>
        <w:t>súa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implantación </w:t>
      </w:r>
      <w:proofErr w:type="spellStart"/>
      <w:r w:rsidRPr="00C75B89">
        <w:rPr>
          <w:rFonts w:ascii="Xunta Sans" w:hAnsi="Xunta Sans"/>
          <w:sz w:val="22"/>
          <w:szCs w:val="22"/>
        </w:rPr>
        <w:t>nas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organizacións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</w:t>
      </w: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29. Modelo de capas: servidores de </w:t>
      </w:r>
      <w:proofErr w:type="spellStart"/>
      <w:r w:rsidRPr="00C75B89">
        <w:rPr>
          <w:rFonts w:ascii="Xunta Sans" w:hAnsi="Xunta Sans"/>
          <w:sz w:val="22"/>
          <w:szCs w:val="22"/>
        </w:rPr>
        <w:t>aplicacións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, servidores de datos, </w:t>
      </w:r>
      <w:proofErr w:type="spellStart"/>
      <w:r w:rsidRPr="00C75B89">
        <w:rPr>
          <w:rFonts w:ascii="Xunta Sans" w:hAnsi="Xunta Sans"/>
          <w:sz w:val="22"/>
          <w:szCs w:val="22"/>
        </w:rPr>
        <w:t>granxas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servidores. Scripts do cliente. </w:t>
      </w: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30. Arquitecturas.net. Arquitecturas J2EE. </w:t>
      </w: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31. Arquitectura SOA. </w:t>
      </w:r>
      <w:proofErr w:type="spellStart"/>
      <w:r w:rsidRPr="00C75B89">
        <w:rPr>
          <w:rFonts w:ascii="Xunta Sans" w:hAnsi="Xunta Sans"/>
          <w:sz w:val="22"/>
          <w:szCs w:val="22"/>
        </w:rPr>
        <w:t>Servizos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web. </w:t>
      </w:r>
      <w:proofErr w:type="spellStart"/>
      <w:r w:rsidRPr="00C75B89">
        <w:rPr>
          <w:rFonts w:ascii="Xunta Sans" w:hAnsi="Xunta Sans"/>
          <w:sz w:val="22"/>
          <w:szCs w:val="22"/>
        </w:rPr>
        <w:t>Tecnoloxías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XML. </w:t>
      </w: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32. </w:t>
      </w:r>
      <w:proofErr w:type="spellStart"/>
      <w:r w:rsidRPr="00C75B89">
        <w:rPr>
          <w:rFonts w:ascii="Xunta Sans" w:hAnsi="Xunta Sans"/>
          <w:sz w:val="22"/>
          <w:szCs w:val="22"/>
        </w:rPr>
        <w:t>Patróns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</w:t>
      </w:r>
      <w:proofErr w:type="spellStart"/>
      <w:r w:rsidRPr="00C75B89">
        <w:rPr>
          <w:rFonts w:ascii="Xunta Sans" w:hAnsi="Xunta Sans"/>
          <w:sz w:val="22"/>
          <w:szCs w:val="22"/>
        </w:rPr>
        <w:t>deseño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 </w:t>
      </w:r>
      <w:proofErr w:type="spellStart"/>
      <w:r w:rsidRPr="00C75B89">
        <w:rPr>
          <w:rFonts w:ascii="Xunta Sans" w:hAnsi="Xunta Sans"/>
          <w:sz w:val="22"/>
          <w:szCs w:val="22"/>
        </w:rPr>
        <w:t>frameworks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para o </w:t>
      </w:r>
      <w:proofErr w:type="spellStart"/>
      <w:r w:rsidRPr="00C75B89">
        <w:rPr>
          <w:rFonts w:ascii="Xunta Sans" w:hAnsi="Xunta Sans"/>
          <w:sz w:val="22"/>
          <w:szCs w:val="22"/>
        </w:rPr>
        <w:t>desenvolvemento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</w:t>
      </w:r>
      <w:proofErr w:type="spellStart"/>
      <w:r w:rsidRPr="00C75B89">
        <w:rPr>
          <w:rFonts w:ascii="Xunta Sans" w:hAnsi="Xunta Sans"/>
          <w:sz w:val="22"/>
          <w:szCs w:val="22"/>
        </w:rPr>
        <w:t>aplicacións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MVC, JSF. </w:t>
      </w:r>
      <w:proofErr w:type="spellStart"/>
      <w:r w:rsidRPr="00C75B89">
        <w:rPr>
          <w:rFonts w:ascii="Xunta Sans" w:hAnsi="Xunta Sans"/>
          <w:sz w:val="22"/>
          <w:szCs w:val="22"/>
        </w:rPr>
        <w:t>Antipatróns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</w:t>
      </w: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33. HTML. </w:t>
      </w:r>
      <w:proofErr w:type="spellStart"/>
      <w:r w:rsidRPr="00C75B89">
        <w:rPr>
          <w:rFonts w:ascii="Xunta Sans" w:hAnsi="Xunta Sans"/>
          <w:sz w:val="22"/>
          <w:szCs w:val="22"/>
        </w:rPr>
        <w:t>Aplicacións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da internet enriquecidas (RIA). AJAX. </w:t>
      </w:r>
      <w:proofErr w:type="spellStart"/>
      <w:r w:rsidRPr="00C75B89">
        <w:rPr>
          <w:rFonts w:ascii="Xunta Sans" w:hAnsi="Xunta Sans"/>
          <w:sz w:val="22"/>
          <w:szCs w:val="22"/>
        </w:rPr>
        <w:t>Desenvolvementos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para dispositivos </w:t>
      </w:r>
      <w:proofErr w:type="spellStart"/>
      <w:r w:rsidRPr="00C75B89">
        <w:rPr>
          <w:rFonts w:ascii="Xunta Sans" w:hAnsi="Xunta Sans"/>
          <w:sz w:val="22"/>
          <w:szCs w:val="22"/>
        </w:rPr>
        <w:t>móbiles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</w:t>
      </w:r>
      <w:proofErr w:type="spellStart"/>
      <w:r w:rsidRPr="00C75B89">
        <w:rPr>
          <w:rFonts w:ascii="Xunta Sans" w:hAnsi="Xunta Sans"/>
          <w:sz w:val="22"/>
          <w:szCs w:val="22"/>
        </w:rPr>
        <w:t>Enxeñaría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do software. </w:t>
      </w: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lastRenderedPageBreak/>
        <w:t xml:space="preserve">34. </w:t>
      </w:r>
      <w:proofErr w:type="spellStart"/>
      <w:r w:rsidRPr="00C75B89">
        <w:rPr>
          <w:rFonts w:ascii="Xunta Sans" w:hAnsi="Xunta Sans"/>
          <w:sz w:val="22"/>
          <w:szCs w:val="22"/>
        </w:rPr>
        <w:t>Enxeñaría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do software. Proceso software, modelos de proceso software. Proceso unificado. Ciclos de vida. Modelos de ciclo de vida. Fases do ciclo de vida. Modelos de </w:t>
      </w:r>
      <w:proofErr w:type="spellStart"/>
      <w:r w:rsidRPr="00C75B89">
        <w:rPr>
          <w:rFonts w:ascii="Xunta Sans" w:hAnsi="Xunta Sans"/>
          <w:sz w:val="22"/>
          <w:szCs w:val="22"/>
        </w:rPr>
        <w:t>desenvolvemento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Modelos </w:t>
      </w:r>
      <w:proofErr w:type="spellStart"/>
      <w:r w:rsidRPr="00C75B89">
        <w:rPr>
          <w:rFonts w:ascii="Xunta Sans" w:hAnsi="Xunta Sans"/>
          <w:sz w:val="22"/>
          <w:szCs w:val="22"/>
        </w:rPr>
        <w:t>áxiles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</w:t>
      </w:r>
      <w:proofErr w:type="spellStart"/>
      <w:r w:rsidRPr="00C75B89">
        <w:rPr>
          <w:rFonts w:ascii="Xunta Sans" w:hAnsi="Xunta Sans"/>
          <w:sz w:val="22"/>
          <w:szCs w:val="22"/>
        </w:rPr>
        <w:t>Metodoloxías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</w:t>
      </w:r>
      <w:proofErr w:type="spellStart"/>
      <w:r w:rsidRPr="00C75B89">
        <w:rPr>
          <w:rFonts w:ascii="Xunta Sans" w:hAnsi="Xunta Sans"/>
          <w:sz w:val="22"/>
          <w:szCs w:val="22"/>
        </w:rPr>
        <w:t>desenvolvemento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software. Métrica versión 3. </w:t>
      </w: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35. </w:t>
      </w:r>
      <w:proofErr w:type="spellStart"/>
      <w:r w:rsidRPr="00C75B89">
        <w:rPr>
          <w:rFonts w:ascii="Xunta Sans" w:hAnsi="Xunta Sans"/>
          <w:sz w:val="22"/>
          <w:szCs w:val="22"/>
        </w:rPr>
        <w:t>Análise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estruturada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</w:t>
      </w:r>
      <w:proofErr w:type="spellStart"/>
      <w:r w:rsidRPr="00C75B89">
        <w:rPr>
          <w:rFonts w:ascii="Xunta Sans" w:hAnsi="Xunta Sans"/>
          <w:sz w:val="22"/>
          <w:szCs w:val="22"/>
        </w:rPr>
        <w:t>Análise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orientada a </w:t>
      </w:r>
      <w:proofErr w:type="spellStart"/>
      <w:r w:rsidRPr="00C75B89">
        <w:rPr>
          <w:rFonts w:ascii="Xunta Sans" w:hAnsi="Xunta Sans"/>
          <w:sz w:val="22"/>
          <w:szCs w:val="22"/>
        </w:rPr>
        <w:t>obxectos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</w:t>
      </w:r>
      <w:proofErr w:type="spellStart"/>
      <w:r w:rsidRPr="00C75B89">
        <w:rPr>
          <w:rFonts w:ascii="Xunta Sans" w:hAnsi="Xunta Sans"/>
          <w:sz w:val="22"/>
          <w:szCs w:val="22"/>
        </w:rPr>
        <w:t>Linguaxe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unificada de </w:t>
      </w:r>
      <w:proofErr w:type="spellStart"/>
      <w:r w:rsidRPr="00C75B89">
        <w:rPr>
          <w:rFonts w:ascii="Xunta Sans" w:hAnsi="Xunta Sans"/>
          <w:sz w:val="22"/>
          <w:szCs w:val="22"/>
        </w:rPr>
        <w:t>modelaxe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(UML). </w:t>
      </w:r>
      <w:proofErr w:type="spellStart"/>
      <w:r w:rsidRPr="00C75B89">
        <w:rPr>
          <w:rFonts w:ascii="Xunta Sans" w:hAnsi="Xunta Sans"/>
          <w:sz w:val="22"/>
          <w:szCs w:val="22"/>
        </w:rPr>
        <w:t>Deseño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</w:t>
      </w:r>
      <w:proofErr w:type="spellStart"/>
      <w:r w:rsidRPr="00C75B89">
        <w:rPr>
          <w:rFonts w:ascii="Xunta Sans" w:hAnsi="Xunta Sans"/>
          <w:sz w:val="22"/>
          <w:szCs w:val="22"/>
        </w:rPr>
        <w:t>Deseño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estruturado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</w:t>
      </w:r>
      <w:proofErr w:type="spellStart"/>
      <w:r w:rsidRPr="00C75B89">
        <w:rPr>
          <w:rFonts w:ascii="Xunta Sans" w:hAnsi="Xunta Sans"/>
          <w:sz w:val="22"/>
          <w:szCs w:val="22"/>
        </w:rPr>
        <w:t>Deseño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datos. </w:t>
      </w:r>
      <w:proofErr w:type="spellStart"/>
      <w:r w:rsidRPr="00C75B89">
        <w:rPr>
          <w:rFonts w:ascii="Xunta Sans" w:hAnsi="Xunta Sans"/>
          <w:sz w:val="22"/>
          <w:szCs w:val="22"/>
        </w:rPr>
        <w:t>Deseño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da interface de usuario. </w:t>
      </w:r>
      <w:proofErr w:type="spellStart"/>
      <w:r w:rsidRPr="00C75B89">
        <w:rPr>
          <w:rFonts w:ascii="Xunta Sans" w:hAnsi="Xunta Sans"/>
          <w:sz w:val="22"/>
          <w:szCs w:val="22"/>
        </w:rPr>
        <w:t>Deseño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procedemental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</w:t>
      </w:r>
      <w:proofErr w:type="spellStart"/>
      <w:r w:rsidRPr="00C75B89">
        <w:rPr>
          <w:rFonts w:ascii="Xunta Sans" w:hAnsi="Xunta Sans"/>
          <w:sz w:val="22"/>
          <w:szCs w:val="22"/>
        </w:rPr>
        <w:t>Deseño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orientado a </w:t>
      </w:r>
      <w:proofErr w:type="spellStart"/>
      <w:r w:rsidRPr="00C75B89">
        <w:rPr>
          <w:rFonts w:ascii="Xunta Sans" w:hAnsi="Xunta Sans"/>
          <w:sz w:val="22"/>
          <w:szCs w:val="22"/>
        </w:rPr>
        <w:t>obxectos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</w:t>
      </w: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36. </w:t>
      </w:r>
      <w:proofErr w:type="spellStart"/>
      <w:r w:rsidRPr="00C75B89">
        <w:rPr>
          <w:rFonts w:ascii="Xunta Sans" w:hAnsi="Xunta Sans"/>
          <w:sz w:val="22"/>
          <w:szCs w:val="22"/>
        </w:rPr>
        <w:t>Enxeñaría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requisitos. Verificación. Validación. Especificación de requisitos. </w:t>
      </w:r>
      <w:proofErr w:type="spellStart"/>
      <w:r w:rsidRPr="00C75B89">
        <w:rPr>
          <w:rFonts w:ascii="Xunta Sans" w:hAnsi="Xunta Sans"/>
          <w:sz w:val="22"/>
          <w:szCs w:val="22"/>
        </w:rPr>
        <w:t>Xestión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requisitos. </w:t>
      </w: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37. Técnicas de programación. Programación </w:t>
      </w:r>
      <w:proofErr w:type="spellStart"/>
      <w:r w:rsidRPr="00C75B89">
        <w:rPr>
          <w:rFonts w:ascii="Xunta Sans" w:hAnsi="Xunta Sans"/>
          <w:sz w:val="22"/>
          <w:szCs w:val="22"/>
        </w:rPr>
        <w:t>estruturada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Programación orientada a </w:t>
      </w:r>
      <w:proofErr w:type="spellStart"/>
      <w:r w:rsidRPr="00C75B89">
        <w:rPr>
          <w:rFonts w:ascii="Xunta Sans" w:hAnsi="Xunta Sans"/>
          <w:sz w:val="22"/>
          <w:szCs w:val="22"/>
        </w:rPr>
        <w:t>obxectos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</w:t>
      </w:r>
      <w:proofErr w:type="spellStart"/>
      <w:r w:rsidRPr="00C75B89">
        <w:rPr>
          <w:rFonts w:ascii="Xunta Sans" w:hAnsi="Xunta Sans"/>
          <w:sz w:val="22"/>
          <w:szCs w:val="22"/>
        </w:rPr>
        <w:t>Enxeñaría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inversa e </w:t>
      </w:r>
      <w:proofErr w:type="spellStart"/>
      <w:r w:rsidRPr="00C75B89">
        <w:rPr>
          <w:rFonts w:ascii="Xunta Sans" w:hAnsi="Xunta Sans"/>
          <w:sz w:val="22"/>
          <w:szCs w:val="22"/>
        </w:rPr>
        <w:t>reenxeñaría</w:t>
      </w:r>
      <w:proofErr w:type="spellEnd"/>
      <w:r w:rsidRPr="00C75B89">
        <w:rPr>
          <w:rFonts w:ascii="Xunta Sans" w:hAnsi="Xunta Sans"/>
          <w:sz w:val="22"/>
          <w:szCs w:val="22"/>
        </w:rPr>
        <w:t>.</w:t>
      </w: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eastAsia="Times New Roman" w:hAnsi="Xunta Sans" w:cs="ArialMT"/>
          <w:kern w:val="0"/>
          <w:sz w:val="22"/>
          <w:szCs w:val="22"/>
          <w:lang w:eastAsia="es-ES" w:bidi="ar-SA"/>
        </w:rPr>
      </w:pPr>
      <w:r w:rsidRPr="00C75B89">
        <w:rPr>
          <w:rFonts w:ascii="Xunta Sans" w:hAnsi="Xunta Sans"/>
          <w:sz w:val="22"/>
          <w:szCs w:val="22"/>
        </w:rPr>
        <w:t xml:space="preserve"> 38. Métodos de proba do software. Fundamentos. </w:t>
      </w:r>
      <w:proofErr w:type="spellStart"/>
      <w:r w:rsidRPr="00C75B89">
        <w:rPr>
          <w:rFonts w:ascii="Xunta Sans" w:hAnsi="Xunta Sans"/>
          <w:sz w:val="22"/>
          <w:szCs w:val="22"/>
        </w:rPr>
        <w:t>Estratexia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proba do software: verificación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validación. Caixa negra e </w:t>
      </w:r>
      <w:proofErr w:type="spellStart"/>
      <w:r w:rsidRPr="00C75B89">
        <w:rPr>
          <w:rFonts w:ascii="Xunta Sans" w:hAnsi="Xunta Sans"/>
          <w:sz w:val="22"/>
          <w:szCs w:val="22"/>
        </w:rPr>
        <w:t>caixa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branca. Probas de contorno e </w:t>
      </w:r>
      <w:proofErr w:type="spellStart"/>
      <w:r w:rsidRPr="00C75B89">
        <w:rPr>
          <w:rFonts w:ascii="Xunta Sans" w:hAnsi="Xunta Sans"/>
          <w:sz w:val="22"/>
          <w:szCs w:val="22"/>
        </w:rPr>
        <w:t>aplicacións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especializadas. Probas </w:t>
      </w:r>
      <w:proofErr w:type="spellStart"/>
      <w:r w:rsidRPr="00C75B89">
        <w:rPr>
          <w:rFonts w:ascii="Xunta Sans" w:hAnsi="Xunta Sans"/>
          <w:sz w:val="22"/>
          <w:szCs w:val="22"/>
        </w:rPr>
        <w:t>funcionais</w:t>
      </w:r>
      <w:proofErr w:type="spellEnd"/>
      <w:r w:rsidRPr="00C75B89">
        <w:rPr>
          <w:rFonts w:ascii="Xunta Sans" w:hAnsi="Xunta Sans"/>
          <w:sz w:val="22"/>
          <w:szCs w:val="22"/>
        </w:rPr>
        <w:t>. Probas de integración. Probas de regresión. Probas de validación.</w:t>
      </w: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proofErr w:type="spellStart"/>
      <w:r w:rsidRPr="00C75B89">
        <w:rPr>
          <w:rFonts w:ascii="Xunta Sans" w:hAnsi="Xunta Sans"/>
          <w:sz w:val="22"/>
          <w:szCs w:val="22"/>
        </w:rPr>
        <w:t>Seguridade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nos sistemas de información.</w:t>
      </w: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39. </w:t>
      </w:r>
      <w:proofErr w:type="spellStart"/>
      <w:r w:rsidRPr="00C75B89">
        <w:rPr>
          <w:rFonts w:ascii="Xunta Sans" w:hAnsi="Xunta Sans"/>
          <w:sz w:val="22"/>
          <w:szCs w:val="22"/>
        </w:rPr>
        <w:t>Seguridade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da información. </w:t>
      </w:r>
      <w:proofErr w:type="spellStart"/>
      <w:r w:rsidRPr="00C75B89">
        <w:rPr>
          <w:rFonts w:ascii="Xunta Sans" w:hAnsi="Xunta Sans"/>
          <w:sz w:val="22"/>
          <w:szCs w:val="22"/>
        </w:rPr>
        <w:t>Confidencialidade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, </w:t>
      </w:r>
      <w:proofErr w:type="spellStart"/>
      <w:r w:rsidRPr="00C75B89">
        <w:rPr>
          <w:rFonts w:ascii="Xunta Sans" w:hAnsi="Xunta Sans"/>
          <w:sz w:val="22"/>
          <w:szCs w:val="22"/>
        </w:rPr>
        <w:t>integridade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 </w:t>
      </w:r>
      <w:proofErr w:type="spellStart"/>
      <w:r w:rsidRPr="00C75B89">
        <w:rPr>
          <w:rFonts w:ascii="Xunta Sans" w:hAnsi="Xunta Sans"/>
          <w:sz w:val="22"/>
          <w:szCs w:val="22"/>
        </w:rPr>
        <w:t>dispoñibilidade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Medidas de </w:t>
      </w:r>
      <w:proofErr w:type="spellStart"/>
      <w:r w:rsidRPr="00C75B89">
        <w:rPr>
          <w:rFonts w:ascii="Xunta Sans" w:hAnsi="Xunta Sans"/>
          <w:sz w:val="22"/>
          <w:szCs w:val="22"/>
        </w:rPr>
        <w:t>seguridade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físicas, técnicas, organizativas e </w:t>
      </w:r>
      <w:proofErr w:type="spellStart"/>
      <w:r w:rsidRPr="00C75B89">
        <w:rPr>
          <w:rFonts w:ascii="Xunta Sans" w:hAnsi="Xunta Sans"/>
          <w:sz w:val="22"/>
          <w:szCs w:val="22"/>
        </w:rPr>
        <w:t>legais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Identificación e autenticación. Control de accesos físicos e </w:t>
      </w:r>
      <w:proofErr w:type="spellStart"/>
      <w:r w:rsidRPr="00C75B89">
        <w:rPr>
          <w:rFonts w:ascii="Xunta Sans" w:hAnsi="Xunta Sans"/>
          <w:sz w:val="22"/>
          <w:szCs w:val="22"/>
        </w:rPr>
        <w:t>lóxicos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Control de </w:t>
      </w:r>
      <w:proofErr w:type="spellStart"/>
      <w:r w:rsidRPr="00C75B89">
        <w:rPr>
          <w:rFonts w:ascii="Xunta Sans" w:hAnsi="Xunta Sans"/>
          <w:sz w:val="22"/>
          <w:szCs w:val="22"/>
        </w:rPr>
        <w:t>fluxo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datos. Centros de </w:t>
      </w:r>
      <w:proofErr w:type="spellStart"/>
      <w:r w:rsidRPr="00C75B89">
        <w:rPr>
          <w:rFonts w:ascii="Xunta Sans" w:hAnsi="Xunta Sans"/>
          <w:sz w:val="22"/>
          <w:szCs w:val="22"/>
        </w:rPr>
        <w:t>operacións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</w:t>
      </w:r>
      <w:proofErr w:type="spellStart"/>
      <w:r w:rsidRPr="00C75B89">
        <w:rPr>
          <w:rFonts w:ascii="Xunta Sans" w:hAnsi="Xunta Sans"/>
          <w:sz w:val="22"/>
          <w:szCs w:val="22"/>
        </w:rPr>
        <w:t>ciberseguridade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(CERT/CSIRT). </w:t>
      </w: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40. </w:t>
      </w:r>
      <w:proofErr w:type="spellStart"/>
      <w:r w:rsidRPr="00C75B89">
        <w:rPr>
          <w:rFonts w:ascii="Xunta Sans" w:hAnsi="Xunta Sans"/>
          <w:sz w:val="22"/>
          <w:szCs w:val="22"/>
        </w:rPr>
        <w:t>Seguridade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en redes: redes </w:t>
      </w:r>
      <w:proofErr w:type="spellStart"/>
      <w:r w:rsidRPr="00C75B89">
        <w:rPr>
          <w:rFonts w:ascii="Xunta Sans" w:hAnsi="Xunta Sans"/>
          <w:sz w:val="22"/>
          <w:szCs w:val="22"/>
        </w:rPr>
        <w:t>perimetrais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DMZ. </w:t>
      </w:r>
      <w:proofErr w:type="spellStart"/>
      <w:r w:rsidRPr="00C75B89">
        <w:rPr>
          <w:rFonts w:ascii="Xunta Sans" w:hAnsi="Xunta Sans"/>
          <w:sz w:val="22"/>
          <w:szCs w:val="22"/>
        </w:rPr>
        <w:t>Tornalumes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</w:t>
      </w:r>
      <w:proofErr w:type="spellStart"/>
      <w:r w:rsidRPr="00C75B89">
        <w:rPr>
          <w:rFonts w:ascii="Xunta Sans" w:hAnsi="Xunta Sans"/>
          <w:sz w:val="22"/>
          <w:szCs w:val="22"/>
        </w:rPr>
        <w:t>Intrusións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</w:t>
      </w:r>
      <w:proofErr w:type="gramStart"/>
      <w:r w:rsidRPr="00C75B89">
        <w:rPr>
          <w:rFonts w:ascii="Xunta Sans" w:hAnsi="Xunta Sans"/>
          <w:sz w:val="22"/>
          <w:szCs w:val="22"/>
        </w:rPr>
        <w:t xml:space="preserve">Accesos </w:t>
      </w:r>
      <w:proofErr w:type="spellStart"/>
      <w:r w:rsidRPr="00C75B89">
        <w:rPr>
          <w:rFonts w:ascii="Xunta Sans" w:hAnsi="Xunta Sans"/>
          <w:sz w:val="22"/>
          <w:szCs w:val="22"/>
        </w:rPr>
        <w:t>non</w:t>
      </w:r>
      <w:proofErr w:type="spellEnd"/>
      <w:proofErr w:type="gramEnd"/>
      <w:r w:rsidRPr="00C75B89">
        <w:rPr>
          <w:rFonts w:ascii="Xunta Sans" w:hAnsi="Xunta Sans"/>
          <w:sz w:val="22"/>
          <w:szCs w:val="22"/>
        </w:rPr>
        <w:t xml:space="preserve"> autorizados. Técnicas de </w:t>
      </w:r>
      <w:proofErr w:type="spellStart"/>
      <w:r w:rsidRPr="00C75B89">
        <w:rPr>
          <w:rFonts w:ascii="Xunta Sans" w:hAnsi="Xunta Sans"/>
          <w:sz w:val="22"/>
          <w:szCs w:val="22"/>
        </w:rPr>
        <w:t>seguridade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preventivas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reactivas. </w:t>
      </w:r>
      <w:proofErr w:type="spellStart"/>
      <w:r w:rsidRPr="00C75B89">
        <w:rPr>
          <w:rFonts w:ascii="Xunta Sans" w:hAnsi="Xunta Sans"/>
          <w:sz w:val="22"/>
          <w:szCs w:val="22"/>
        </w:rPr>
        <w:t>Outros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equipamentos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</w:t>
      </w:r>
      <w:proofErr w:type="spellStart"/>
      <w:r w:rsidRPr="00C75B89">
        <w:rPr>
          <w:rFonts w:ascii="Xunta Sans" w:hAnsi="Xunta Sans"/>
          <w:sz w:val="22"/>
          <w:szCs w:val="22"/>
        </w:rPr>
        <w:t>seguridade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en rede (WAF, </w:t>
      </w:r>
      <w:proofErr w:type="spellStart"/>
      <w:r w:rsidRPr="00C75B89">
        <w:rPr>
          <w:rFonts w:ascii="Xunta Sans" w:hAnsi="Xunta Sans"/>
          <w:sz w:val="22"/>
          <w:szCs w:val="22"/>
        </w:rPr>
        <w:t>antiDDOS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...). Sistemas de </w:t>
      </w:r>
      <w:proofErr w:type="spellStart"/>
      <w:r w:rsidRPr="00C75B89">
        <w:rPr>
          <w:rFonts w:ascii="Xunta Sans" w:hAnsi="Xunta Sans"/>
          <w:sz w:val="22"/>
          <w:szCs w:val="22"/>
        </w:rPr>
        <w:t>xestión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eventos e información de </w:t>
      </w:r>
      <w:proofErr w:type="spellStart"/>
      <w:r w:rsidRPr="00C75B89">
        <w:rPr>
          <w:rFonts w:ascii="Xunta Sans" w:hAnsi="Xunta Sans"/>
          <w:sz w:val="22"/>
          <w:szCs w:val="22"/>
        </w:rPr>
        <w:t>seguridade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(SIEM). </w:t>
      </w: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41. Certificados </w:t>
      </w:r>
      <w:proofErr w:type="spellStart"/>
      <w:r w:rsidRPr="00C75B89">
        <w:rPr>
          <w:rFonts w:ascii="Xunta Sans" w:hAnsi="Xunta Sans"/>
          <w:sz w:val="22"/>
          <w:szCs w:val="22"/>
        </w:rPr>
        <w:t>dixitais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</w:t>
      </w:r>
      <w:proofErr w:type="spellStart"/>
      <w:r w:rsidRPr="00C75B89">
        <w:rPr>
          <w:rFonts w:ascii="Xunta Sans" w:hAnsi="Xunta Sans"/>
          <w:sz w:val="22"/>
          <w:szCs w:val="22"/>
        </w:rPr>
        <w:t>Tarxetas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criptográficas. </w:t>
      </w:r>
      <w:proofErr w:type="spellStart"/>
      <w:r w:rsidRPr="00C75B89">
        <w:rPr>
          <w:rFonts w:ascii="Xunta Sans" w:hAnsi="Xunta Sans"/>
          <w:sz w:val="22"/>
          <w:szCs w:val="22"/>
        </w:rPr>
        <w:t>Sinatura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dixital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Técnicas de </w:t>
      </w:r>
      <w:proofErr w:type="spellStart"/>
      <w:r w:rsidRPr="00C75B89">
        <w:rPr>
          <w:rFonts w:ascii="Xunta Sans" w:hAnsi="Xunta Sans"/>
          <w:sz w:val="22"/>
          <w:szCs w:val="22"/>
        </w:rPr>
        <w:t>cifraxe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</w:t>
      </w:r>
      <w:proofErr w:type="spellStart"/>
      <w:r w:rsidRPr="00C75B89">
        <w:rPr>
          <w:rFonts w:ascii="Xunta Sans" w:hAnsi="Xunta Sans"/>
          <w:sz w:val="22"/>
          <w:szCs w:val="22"/>
        </w:rPr>
        <w:t>Infraestrutura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clave pública (PKI).</w:t>
      </w: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lastRenderedPageBreak/>
        <w:t xml:space="preserve"> 42. Virus e </w:t>
      </w:r>
      <w:proofErr w:type="spellStart"/>
      <w:r w:rsidRPr="00C75B89">
        <w:rPr>
          <w:rFonts w:ascii="Xunta Sans" w:hAnsi="Xunta Sans"/>
          <w:sz w:val="22"/>
          <w:szCs w:val="22"/>
        </w:rPr>
        <w:t>outro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software maligno avanzado. </w:t>
      </w:r>
      <w:proofErr w:type="spellStart"/>
      <w:r w:rsidRPr="00C75B89">
        <w:rPr>
          <w:rFonts w:ascii="Xunta Sans" w:hAnsi="Xunta Sans"/>
          <w:sz w:val="22"/>
          <w:szCs w:val="22"/>
        </w:rPr>
        <w:t>Ameazas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persistentes avanzadas (APT). Tipos. Medios preventivos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reactivos. Sistemas antivirus e de protección. Sistemas antivirus e de protección. Sistemas de protección ante malware avanzado (</w:t>
      </w:r>
      <w:proofErr w:type="spellStart"/>
      <w:r w:rsidRPr="00C75B89">
        <w:rPr>
          <w:rFonts w:ascii="Xunta Sans" w:hAnsi="Xunta Sans"/>
          <w:sz w:val="22"/>
          <w:szCs w:val="22"/>
        </w:rPr>
        <w:t>solucións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</w:t>
      </w:r>
      <w:proofErr w:type="spellStart"/>
      <w:r w:rsidRPr="00C75B89">
        <w:rPr>
          <w:rFonts w:ascii="Xunta Sans" w:hAnsi="Xunta Sans"/>
          <w:sz w:val="22"/>
          <w:szCs w:val="22"/>
        </w:rPr>
        <w:t>sandboxing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). </w:t>
      </w:r>
      <w:proofErr w:type="spellStart"/>
      <w:r w:rsidRPr="00C75B89">
        <w:rPr>
          <w:rFonts w:ascii="Xunta Sans" w:hAnsi="Xunta Sans"/>
          <w:sz w:val="22"/>
          <w:szCs w:val="22"/>
        </w:rPr>
        <w:t>Telecomunicacións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</w:t>
      </w: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43. Redes LAN, MAN e WAN. </w:t>
      </w:r>
      <w:proofErr w:type="spellStart"/>
      <w:r w:rsidRPr="00C75B89">
        <w:rPr>
          <w:rFonts w:ascii="Xunta Sans" w:hAnsi="Xunta Sans"/>
          <w:sz w:val="22"/>
          <w:szCs w:val="22"/>
        </w:rPr>
        <w:t>Estrutura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redes: troncal, distribución acceso. Redes públicas de transmisión de datos. Modelo OSI. Protocolos de rede. TCP/IP. Elementos de interconexión de redes. Concentradores, conmutadores, repetidores, </w:t>
      </w:r>
      <w:proofErr w:type="spellStart"/>
      <w:r w:rsidRPr="00C75B89">
        <w:rPr>
          <w:rFonts w:ascii="Xunta Sans" w:hAnsi="Xunta Sans"/>
          <w:sz w:val="22"/>
          <w:szCs w:val="22"/>
        </w:rPr>
        <w:t>pontes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, </w:t>
      </w:r>
      <w:proofErr w:type="spellStart"/>
      <w:r w:rsidRPr="00C75B89">
        <w:rPr>
          <w:rFonts w:ascii="Xunta Sans" w:hAnsi="Xunta Sans"/>
          <w:sz w:val="22"/>
          <w:szCs w:val="22"/>
        </w:rPr>
        <w:t>encamiñadores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, pasarelas. </w:t>
      </w:r>
      <w:proofErr w:type="spellStart"/>
      <w:r w:rsidRPr="00C75B89">
        <w:rPr>
          <w:rFonts w:ascii="Xunta Sans" w:hAnsi="Xunta Sans"/>
          <w:sz w:val="22"/>
          <w:szCs w:val="22"/>
        </w:rPr>
        <w:t>Xestión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redes. Configuración de redes. </w:t>
      </w: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44. redes de telefonía </w:t>
      </w:r>
      <w:proofErr w:type="spellStart"/>
      <w:r w:rsidRPr="00C75B89">
        <w:rPr>
          <w:rFonts w:ascii="Xunta Sans" w:hAnsi="Xunta Sans"/>
          <w:sz w:val="22"/>
          <w:szCs w:val="22"/>
        </w:rPr>
        <w:t>móbil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, cable, PLC, redes radio (LMDS, </w:t>
      </w:r>
      <w:proofErr w:type="spellStart"/>
      <w:r w:rsidRPr="00C75B89">
        <w:rPr>
          <w:rFonts w:ascii="Xunta Sans" w:hAnsi="Xunta Sans"/>
          <w:sz w:val="22"/>
          <w:szCs w:val="22"/>
        </w:rPr>
        <w:t>Wimax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), Satélite, </w:t>
      </w:r>
      <w:proofErr w:type="spellStart"/>
      <w:r w:rsidRPr="00C75B89">
        <w:rPr>
          <w:rFonts w:ascii="Xunta Sans" w:hAnsi="Xunta Sans"/>
          <w:sz w:val="22"/>
          <w:szCs w:val="22"/>
        </w:rPr>
        <w:t>liñas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punto a punto, </w:t>
      </w:r>
      <w:proofErr w:type="spellStart"/>
      <w:r w:rsidRPr="00C75B89">
        <w:rPr>
          <w:rFonts w:ascii="Xunta Sans" w:hAnsi="Xunta Sans"/>
          <w:sz w:val="22"/>
          <w:szCs w:val="22"/>
        </w:rPr>
        <w:t>MetroEthernet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</w:t>
      </w: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</w:t>
      </w:r>
      <w:r w:rsidRPr="00FE2481">
        <w:rPr>
          <w:rFonts w:ascii="Xunta Sans" w:hAnsi="Xunta Sans"/>
          <w:sz w:val="22"/>
          <w:szCs w:val="22"/>
          <w:lang w:val="en-GB"/>
        </w:rPr>
        <w:t xml:space="preserve">46. </w:t>
      </w:r>
      <w:proofErr w:type="spellStart"/>
      <w:r w:rsidRPr="00FE2481">
        <w:rPr>
          <w:rFonts w:ascii="Xunta Sans" w:hAnsi="Xunta Sans"/>
          <w:sz w:val="22"/>
          <w:szCs w:val="22"/>
          <w:lang w:val="en-GB"/>
        </w:rPr>
        <w:t>Tecnoloxías</w:t>
      </w:r>
      <w:proofErr w:type="spellEnd"/>
      <w:r w:rsidRPr="00FE2481">
        <w:rPr>
          <w:rFonts w:ascii="Xunta Sans" w:hAnsi="Xunta Sans"/>
          <w:sz w:val="22"/>
          <w:szCs w:val="22"/>
          <w:lang w:val="en-GB"/>
        </w:rPr>
        <w:t xml:space="preserve"> </w:t>
      </w:r>
      <w:proofErr w:type="spellStart"/>
      <w:r w:rsidRPr="00FE2481">
        <w:rPr>
          <w:rFonts w:ascii="Xunta Sans" w:hAnsi="Xunta Sans"/>
          <w:sz w:val="22"/>
          <w:szCs w:val="22"/>
          <w:lang w:val="en-GB"/>
        </w:rPr>
        <w:t>sen</w:t>
      </w:r>
      <w:proofErr w:type="spellEnd"/>
      <w:r w:rsidRPr="00FE2481">
        <w:rPr>
          <w:rFonts w:ascii="Xunta Sans" w:hAnsi="Xunta Sans"/>
          <w:sz w:val="22"/>
          <w:szCs w:val="22"/>
          <w:lang w:val="en-GB"/>
        </w:rPr>
        <w:t xml:space="preserve"> </w:t>
      </w:r>
      <w:proofErr w:type="spellStart"/>
      <w:r w:rsidRPr="00FE2481">
        <w:rPr>
          <w:rFonts w:ascii="Xunta Sans" w:hAnsi="Xunta Sans"/>
          <w:sz w:val="22"/>
          <w:szCs w:val="22"/>
          <w:lang w:val="en-GB"/>
        </w:rPr>
        <w:t>fíos</w:t>
      </w:r>
      <w:proofErr w:type="spellEnd"/>
      <w:r w:rsidRPr="00FE2481">
        <w:rPr>
          <w:rFonts w:ascii="Xunta Sans" w:hAnsi="Xunta Sans"/>
          <w:sz w:val="22"/>
          <w:szCs w:val="22"/>
          <w:lang w:val="en-GB"/>
        </w:rPr>
        <w:t xml:space="preserve">: Bluetooth, </w:t>
      </w:r>
      <w:proofErr w:type="spellStart"/>
      <w:r w:rsidRPr="00FE2481">
        <w:rPr>
          <w:rFonts w:ascii="Xunta Sans" w:hAnsi="Xunta Sans"/>
          <w:sz w:val="22"/>
          <w:szCs w:val="22"/>
          <w:lang w:val="en-GB"/>
        </w:rPr>
        <w:t>WiBree</w:t>
      </w:r>
      <w:proofErr w:type="spellEnd"/>
      <w:r w:rsidRPr="00FE2481">
        <w:rPr>
          <w:rFonts w:ascii="Xunta Sans" w:hAnsi="Xunta Sans"/>
          <w:sz w:val="22"/>
          <w:szCs w:val="22"/>
          <w:lang w:val="en-GB"/>
        </w:rPr>
        <w:t xml:space="preserve">, Wireless USB, Wi-Fi. </w:t>
      </w:r>
      <w:r w:rsidRPr="00C75B89">
        <w:rPr>
          <w:rFonts w:ascii="Xunta Sans" w:hAnsi="Xunta Sans"/>
          <w:sz w:val="22"/>
          <w:szCs w:val="22"/>
        </w:rPr>
        <w:t xml:space="preserve">RFID. </w:t>
      </w:r>
      <w:proofErr w:type="spellStart"/>
      <w:r w:rsidRPr="00C75B89">
        <w:rPr>
          <w:rFonts w:ascii="Xunta Sans" w:hAnsi="Xunta Sans"/>
          <w:sz w:val="22"/>
          <w:szCs w:val="22"/>
        </w:rPr>
        <w:t>Tecnoloxías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móbiles</w:t>
      </w:r>
      <w:proofErr w:type="spellEnd"/>
      <w:r w:rsidRPr="00C75B89">
        <w:rPr>
          <w:rFonts w:ascii="Xunta Sans" w:hAnsi="Xunta Sans"/>
          <w:sz w:val="22"/>
          <w:szCs w:val="22"/>
        </w:rPr>
        <w:t>.</w:t>
      </w:r>
      <w:r w:rsidR="00E75AB2">
        <w:rPr>
          <w:rFonts w:ascii="Xunta Sans" w:hAnsi="Xunta Sans"/>
          <w:sz w:val="22"/>
          <w:szCs w:val="22"/>
        </w:rPr>
        <w:t xml:space="preserve"> </w:t>
      </w:r>
      <w:proofErr w:type="spellStart"/>
      <w:r w:rsidRPr="00C75B89">
        <w:rPr>
          <w:rFonts w:ascii="Xunta Sans" w:hAnsi="Xunta Sans"/>
          <w:sz w:val="22"/>
          <w:szCs w:val="22"/>
        </w:rPr>
        <w:t>Infraestrutura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sistemas.</w:t>
      </w: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47. Concepto, evolución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tendencias dos sistemas operativos. Sistema operativo </w:t>
      </w:r>
      <w:proofErr w:type="spellStart"/>
      <w:r w:rsidRPr="00C75B89">
        <w:rPr>
          <w:rFonts w:ascii="Xunta Sans" w:hAnsi="Xunta Sans"/>
          <w:sz w:val="22"/>
          <w:szCs w:val="22"/>
        </w:rPr>
        <w:t>UnixLinux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Sistema operativo Windows. </w:t>
      </w: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48. Servidores de </w:t>
      </w:r>
      <w:proofErr w:type="spellStart"/>
      <w:r w:rsidRPr="00C75B89">
        <w:rPr>
          <w:rFonts w:ascii="Xunta Sans" w:hAnsi="Xunta Sans"/>
          <w:sz w:val="22"/>
          <w:szCs w:val="22"/>
        </w:rPr>
        <w:t>mensaxaría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Sistemas de correo. Servidores de </w:t>
      </w:r>
      <w:proofErr w:type="spellStart"/>
      <w:r w:rsidRPr="00C75B89">
        <w:rPr>
          <w:rFonts w:ascii="Xunta Sans" w:hAnsi="Xunta Sans"/>
          <w:sz w:val="22"/>
          <w:szCs w:val="22"/>
        </w:rPr>
        <w:t>aplicacións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 servidores web. Sistemas de directorio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protocolo de acceso LDAP. </w:t>
      </w: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hAnsi="Xunta Sans"/>
          <w:sz w:val="22"/>
          <w:szCs w:val="22"/>
        </w:rPr>
      </w:pPr>
    </w:p>
    <w:p w:rsidR="00807114" w:rsidRPr="00C75B89" w:rsidRDefault="00807114" w:rsidP="008071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="Xunta Sans" w:eastAsia="Times New Roman" w:hAnsi="Xunta Sans" w:cs="ArialMT"/>
          <w:kern w:val="0"/>
          <w:sz w:val="22"/>
          <w:szCs w:val="22"/>
          <w:lang w:eastAsia="es-ES" w:bidi="ar-SA"/>
        </w:rPr>
      </w:pPr>
      <w:r w:rsidRPr="00C75B89">
        <w:rPr>
          <w:rFonts w:ascii="Xunta Sans" w:hAnsi="Xunta Sans"/>
          <w:sz w:val="22"/>
          <w:szCs w:val="22"/>
        </w:rPr>
        <w:t xml:space="preserve">49. Administración e </w:t>
      </w:r>
      <w:proofErr w:type="spellStart"/>
      <w:r w:rsidRPr="00C75B89">
        <w:rPr>
          <w:rFonts w:ascii="Xunta Sans" w:hAnsi="Xunta Sans"/>
          <w:sz w:val="22"/>
          <w:szCs w:val="22"/>
        </w:rPr>
        <w:t>xestión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sistemas e </w:t>
      </w:r>
      <w:proofErr w:type="spellStart"/>
      <w:r w:rsidRPr="00C75B89">
        <w:rPr>
          <w:rFonts w:ascii="Xunta Sans" w:hAnsi="Xunta Sans"/>
          <w:sz w:val="22"/>
          <w:szCs w:val="22"/>
        </w:rPr>
        <w:t>almacenamento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Virtualización de servidores. Virtualización do </w:t>
      </w:r>
      <w:proofErr w:type="spellStart"/>
      <w:r w:rsidRPr="00C75B89">
        <w:rPr>
          <w:rFonts w:ascii="Xunta Sans" w:hAnsi="Xunta Sans"/>
          <w:sz w:val="22"/>
          <w:szCs w:val="22"/>
        </w:rPr>
        <w:t>posto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cliente. Computación </w:t>
      </w:r>
      <w:proofErr w:type="spellStart"/>
      <w:r w:rsidRPr="00C75B89">
        <w:rPr>
          <w:rFonts w:ascii="Xunta Sans" w:hAnsi="Xunta Sans"/>
          <w:sz w:val="22"/>
          <w:szCs w:val="22"/>
        </w:rPr>
        <w:t>baseada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en servidor (SBC). </w:t>
      </w:r>
      <w:proofErr w:type="spellStart"/>
      <w:r w:rsidRPr="00C75B89">
        <w:rPr>
          <w:rFonts w:ascii="Xunta Sans" w:hAnsi="Xunta Sans"/>
          <w:sz w:val="22"/>
          <w:szCs w:val="22"/>
        </w:rPr>
        <w:t>Grid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Computing. Cloud Computing: IaaS, PaaS e SaaS. Green IT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eficiencia </w:t>
      </w:r>
      <w:proofErr w:type="spellStart"/>
      <w:r w:rsidRPr="00C75B89">
        <w:rPr>
          <w:rFonts w:ascii="Xunta Sans" w:hAnsi="Xunta Sans"/>
          <w:sz w:val="22"/>
          <w:szCs w:val="22"/>
        </w:rPr>
        <w:t>enerxética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Redes SAN e elementos </w:t>
      </w:r>
      <w:proofErr w:type="spellStart"/>
      <w:r w:rsidRPr="00C75B89">
        <w:rPr>
          <w:rFonts w:ascii="Xunta Sans" w:hAnsi="Xunta Sans"/>
          <w:sz w:val="22"/>
          <w:szCs w:val="22"/>
        </w:rPr>
        <w:t>dun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SAN. Virtualización do </w:t>
      </w:r>
      <w:proofErr w:type="spellStart"/>
      <w:r w:rsidRPr="00C75B89">
        <w:rPr>
          <w:rFonts w:ascii="Xunta Sans" w:hAnsi="Xunta Sans"/>
          <w:sz w:val="22"/>
          <w:szCs w:val="22"/>
        </w:rPr>
        <w:t>almacenamento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</w:t>
      </w:r>
      <w:proofErr w:type="spellStart"/>
      <w:r w:rsidRPr="00C75B89">
        <w:rPr>
          <w:rFonts w:ascii="Xunta Sans" w:hAnsi="Xunta Sans"/>
          <w:sz w:val="22"/>
          <w:szCs w:val="22"/>
        </w:rPr>
        <w:t>Xestión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do ciclo de vida da información (ILM). Sistemas de </w:t>
      </w:r>
      <w:proofErr w:type="spellStart"/>
      <w:r w:rsidRPr="00C75B89">
        <w:rPr>
          <w:rFonts w:ascii="Xunta Sans" w:hAnsi="Xunta Sans"/>
          <w:sz w:val="22"/>
          <w:szCs w:val="22"/>
        </w:rPr>
        <w:t>backup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: hardware </w:t>
      </w:r>
      <w:proofErr w:type="spellStart"/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spellEnd"/>
      <w:proofErr w:type="gramEnd"/>
      <w:r w:rsidRPr="00C75B89">
        <w:rPr>
          <w:rFonts w:ascii="Xunta Sans" w:hAnsi="Xunta Sans"/>
          <w:sz w:val="22"/>
          <w:szCs w:val="22"/>
        </w:rPr>
        <w:t xml:space="preserve"> software de </w:t>
      </w:r>
      <w:proofErr w:type="spellStart"/>
      <w:r w:rsidRPr="00C75B89">
        <w:rPr>
          <w:rFonts w:ascii="Xunta Sans" w:hAnsi="Xunta Sans"/>
          <w:sz w:val="22"/>
          <w:szCs w:val="22"/>
        </w:rPr>
        <w:t>backup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</w:t>
      </w:r>
      <w:proofErr w:type="spellStart"/>
      <w:r w:rsidRPr="00C75B89">
        <w:rPr>
          <w:rFonts w:ascii="Xunta Sans" w:hAnsi="Xunta Sans"/>
          <w:sz w:val="22"/>
          <w:szCs w:val="22"/>
        </w:rPr>
        <w:t>Estratexias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</w:t>
      </w:r>
      <w:proofErr w:type="spellStart"/>
      <w:r w:rsidRPr="00C75B89">
        <w:rPr>
          <w:rFonts w:ascii="Xunta Sans" w:hAnsi="Xunta Sans"/>
          <w:sz w:val="22"/>
          <w:szCs w:val="22"/>
        </w:rPr>
        <w:t>backup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a disco. Replicación local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remota, </w:t>
      </w:r>
      <w:proofErr w:type="spellStart"/>
      <w:r w:rsidRPr="00C75B89">
        <w:rPr>
          <w:rFonts w:ascii="Xunta Sans" w:hAnsi="Xunta Sans"/>
          <w:sz w:val="22"/>
          <w:szCs w:val="22"/>
        </w:rPr>
        <w:t>estratexias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recuperación.</w:t>
      </w:r>
    </w:p>
    <w:p w:rsidR="00807114" w:rsidRPr="00C75B89" w:rsidRDefault="00807114" w:rsidP="00807114">
      <w:pPr>
        <w:spacing w:line="360" w:lineRule="auto"/>
        <w:rPr>
          <w:rFonts w:ascii="Xunta Sans" w:hAnsi="Xunta Sans"/>
          <w:sz w:val="22"/>
          <w:szCs w:val="22"/>
        </w:rPr>
      </w:pPr>
    </w:p>
    <w:p w:rsidR="00807114" w:rsidRDefault="00807114" w:rsidP="00807114">
      <w:pPr>
        <w:spacing w:line="360" w:lineRule="auto"/>
      </w:pPr>
    </w:p>
    <w:p w:rsidR="00240CDD" w:rsidRDefault="00240CDD"/>
    <w:sectPr w:rsidR="00240C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Xunta Sans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5122CD"/>
    <w:multiLevelType w:val="hybridMultilevel"/>
    <w:tmpl w:val="D4FE8BF2"/>
    <w:lvl w:ilvl="0" w:tplc="7E7CD7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114"/>
    <w:rsid w:val="00240CDD"/>
    <w:rsid w:val="00457A53"/>
    <w:rsid w:val="00641817"/>
    <w:rsid w:val="00807114"/>
    <w:rsid w:val="00E75AB2"/>
    <w:rsid w:val="00FE2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104924-5CAA-4503-B08B-7B5B76A4C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7114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bo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lista">
    <w:name w:val="No List"/>
    <w:uiPriority w:val="99"/>
    <w:semiHidden/>
    <w:unhideWhenUsed/>
  </w:style>
  <w:style w:type="paragraph" w:styleId="Pargrafodelista">
    <w:name w:val="List Paragraph"/>
    <w:basedOn w:val="Normal"/>
    <w:uiPriority w:val="34"/>
    <w:qFormat/>
    <w:rsid w:val="00807114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2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1581</Words>
  <Characters>8697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Xunta de Galicia</Company>
  <LinksUpToDate>false</LinksUpToDate>
  <CharactersWithSpaces>10258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Carballal Paradela, María Dolores</dc:creator>
  <cp:keywords/>
  <dc:description/>
  <cp:lastModifiedBy>Pérez Santos, María Uxía</cp:lastModifiedBy>
  <cp:revision>3</cp:revision>
  <dcterms:created xsi:type="dcterms:W3CDTF">2022-11-11T12:13:00Z</dcterms:created>
  <dcterms:modified xsi:type="dcterms:W3CDTF">2022-11-11T14:11:00Z</dcterms:modified>
</cp:coreProperties>
</file>